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5C301F" w14:textId="77777777" w:rsidR="00391B2D" w:rsidRPr="006B3CF3" w:rsidRDefault="00391B2D" w:rsidP="00391B2D">
      <w:pPr>
        <w:spacing w:line="480" w:lineRule="auto"/>
        <w:rPr>
          <w:b/>
          <w:sz w:val="22"/>
        </w:rPr>
      </w:pPr>
      <w:r w:rsidRPr="0050567D">
        <w:rPr>
          <w:b/>
          <w:sz w:val="22"/>
        </w:rPr>
        <w:t xml:space="preserve">Supplementary Tables </w:t>
      </w:r>
    </w:p>
    <w:p w14:paraId="68AED52C" w14:textId="77777777" w:rsidR="006B3CF3" w:rsidRDefault="006B3CF3" w:rsidP="00391B2D">
      <w:pPr>
        <w:spacing w:line="480" w:lineRule="auto"/>
        <w:rPr>
          <w:rFonts w:eastAsia="Merriweather"/>
          <w:color w:val="2A2A2A"/>
          <w:sz w:val="22"/>
          <w:szCs w:val="22"/>
          <w:highlight w:val="white"/>
        </w:rPr>
      </w:pPr>
      <w:r w:rsidRPr="0050567D">
        <w:rPr>
          <w:sz w:val="22"/>
          <w:szCs w:val="22"/>
        </w:rPr>
        <w:t>Supplementary Table 1. Cell line details used in the study</w:t>
      </w:r>
    </w:p>
    <w:p w14:paraId="1634F6DE" w14:textId="77777777" w:rsidR="00391B2D" w:rsidRPr="0050567D" w:rsidRDefault="00391B2D" w:rsidP="00391B2D">
      <w:pPr>
        <w:spacing w:line="480" w:lineRule="auto"/>
        <w:rPr>
          <w:rFonts w:eastAsia="Merriweather"/>
          <w:color w:val="2A2A2A"/>
          <w:sz w:val="22"/>
          <w:szCs w:val="22"/>
          <w:highlight w:val="white"/>
        </w:rPr>
      </w:pPr>
      <w:r w:rsidRPr="0050567D">
        <w:rPr>
          <w:rFonts w:eastAsia="Merriweather"/>
          <w:color w:val="2A2A2A"/>
          <w:sz w:val="22"/>
          <w:szCs w:val="22"/>
          <w:highlight w:val="white"/>
        </w:rPr>
        <w:t xml:space="preserve">Supplementary Table 2: Differentially expressed genes in BS cells in comparison to WT </w:t>
      </w:r>
    </w:p>
    <w:p w14:paraId="08EF5C1F" w14:textId="77777777" w:rsidR="00732D0F" w:rsidRDefault="00391B2D" w:rsidP="00D940BA">
      <w:pPr>
        <w:spacing w:line="480" w:lineRule="auto"/>
        <w:rPr>
          <w:rFonts w:eastAsia="Merriweather"/>
          <w:color w:val="2A2A2A"/>
          <w:sz w:val="22"/>
          <w:szCs w:val="22"/>
        </w:rPr>
      </w:pPr>
      <w:r w:rsidRPr="0050567D">
        <w:rPr>
          <w:rFonts w:eastAsia="Merriweather"/>
          <w:color w:val="2A2A2A"/>
          <w:sz w:val="22"/>
          <w:szCs w:val="22"/>
          <w:highlight w:val="white"/>
        </w:rPr>
        <w:t>Supplementary Table 3: Genes that are included in Figure 3 and the corresponding values</w:t>
      </w:r>
    </w:p>
    <w:p w14:paraId="0D81F985" w14:textId="77777777" w:rsidR="008050F1" w:rsidRDefault="008050F1" w:rsidP="00732D0F">
      <w:pPr>
        <w:spacing w:line="480" w:lineRule="auto"/>
        <w:jc w:val="both"/>
      </w:pPr>
    </w:p>
    <w:p w14:paraId="6435E340" w14:textId="0099208A" w:rsidR="00732D0F" w:rsidRPr="0050567D" w:rsidRDefault="00D940BA" w:rsidP="00732D0F">
      <w:pPr>
        <w:spacing w:line="480" w:lineRule="auto"/>
        <w:jc w:val="both"/>
        <w:rPr>
          <w:b/>
          <w:bCs/>
          <w:sz w:val="22"/>
          <w:szCs w:val="22"/>
        </w:rPr>
      </w:pPr>
      <w:r>
        <w:rPr>
          <w:b/>
          <w:bCs/>
          <w:sz w:val="22"/>
          <w:szCs w:val="22"/>
        </w:rPr>
        <w:t xml:space="preserve">Legends to </w:t>
      </w:r>
      <w:r w:rsidR="00732D0F" w:rsidRPr="0050567D">
        <w:rPr>
          <w:b/>
          <w:bCs/>
          <w:sz w:val="22"/>
          <w:szCs w:val="22"/>
        </w:rPr>
        <w:t>Supplementary Figures</w:t>
      </w:r>
    </w:p>
    <w:p w14:paraId="025BFA73" w14:textId="013FF027" w:rsidR="00732D0F" w:rsidRPr="0050567D" w:rsidRDefault="00732D0F" w:rsidP="00732D0F">
      <w:pPr>
        <w:spacing w:line="480" w:lineRule="auto"/>
        <w:jc w:val="both"/>
        <w:rPr>
          <w:b/>
          <w:bCs/>
          <w:sz w:val="22"/>
          <w:szCs w:val="22"/>
        </w:rPr>
      </w:pPr>
      <w:r w:rsidRPr="0050567D">
        <w:rPr>
          <w:b/>
          <w:sz w:val="22"/>
        </w:rPr>
        <w:t>Figure S1.</w:t>
      </w:r>
      <w:r w:rsidRPr="0050567D">
        <w:rPr>
          <w:noProof/>
          <w:sz w:val="22"/>
          <w:lang w:eastAsia="de-DE"/>
        </w:rPr>
        <w:t xml:space="preserve"> </w:t>
      </w:r>
      <w:r w:rsidRPr="0050567D">
        <w:rPr>
          <w:i/>
          <w:noProof/>
          <w:sz w:val="22"/>
          <w:lang w:eastAsia="de-DE"/>
        </w:rPr>
        <w:t>BLM</w:t>
      </w:r>
      <w:r w:rsidRPr="0050567D">
        <w:rPr>
          <w:noProof/>
          <w:sz w:val="22"/>
          <w:lang w:eastAsia="de-DE"/>
        </w:rPr>
        <w:t xml:space="preserve"> gene mutations of the cell lines used i</w:t>
      </w:r>
      <w:r w:rsidR="004D26D2">
        <w:rPr>
          <w:noProof/>
          <w:sz w:val="22"/>
          <w:lang w:eastAsia="de-DE"/>
        </w:rPr>
        <w:t>n this study were confirmed by</w:t>
      </w:r>
      <w:r w:rsidRPr="0050567D">
        <w:rPr>
          <w:noProof/>
          <w:sz w:val="22"/>
          <w:lang w:eastAsia="de-DE"/>
        </w:rPr>
        <w:t xml:space="preserve"> Sanger sequencing. (A) BS1 cell line was compound heterozygous, (B) BS2 cell line was homozygous, and (C) BS3 cell line was compound heterozygous for the corresponding loss-of-function mutations in the </w:t>
      </w:r>
      <w:r w:rsidRPr="0050567D">
        <w:rPr>
          <w:i/>
          <w:noProof/>
          <w:sz w:val="22"/>
          <w:lang w:eastAsia="de-DE"/>
        </w:rPr>
        <w:t xml:space="preserve">BLM </w:t>
      </w:r>
      <w:r w:rsidRPr="0050567D">
        <w:rPr>
          <w:noProof/>
          <w:sz w:val="22"/>
          <w:lang w:eastAsia="de-DE"/>
        </w:rPr>
        <w:t>gene. Red arrows indicate the positions of the mutations on the alleles of Bloom syndrome patient cell lines on part (A) and (C). Red underlined sequence shows the deleted sequence on wild-type whereas the sequence marked with red re</w:t>
      </w:r>
      <w:r w:rsidR="004D26D2">
        <w:rPr>
          <w:noProof/>
          <w:sz w:val="22"/>
          <w:lang w:eastAsia="de-DE"/>
        </w:rPr>
        <w:t>ctangle shows the inserted seque</w:t>
      </w:r>
      <w:r w:rsidRPr="0050567D">
        <w:rPr>
          <w:noProof/>
          <w:sz w:val="22"/>
          <w:lang w:eastAsia="de-DE"/>
        </w:rPr>
        <w:t xml:space="preserve">nce on the BS patient cell line on part (B). Nomenclature is according to </w:t>
      </w:r>
      <w:r w:rsidRPr="0050567D">
        <w:rPr>
          <w:i/>
          <w:noProof/>
          <w:sz w:val="22"/>
          <w:lang w:eastAsia="de-DE"/>
        </w:rPr>
        <w:t>BLM</w:t>
      </w:r>
      <w:r w:rsidRPr="0050567D">
        <w:rPr>
          <w:noProof/>
          <w:sz w:val="22"/>
          <w:lang w:eastAsia="de-DE"/>
        </w:rPr>
        <w:t xml:space="preserve"> transcript NM_000057.4.</w:t>
      </w:r>
    </w:p>
    <w:p w14:paraId="1DA3CC58" w14:textId="77777777" w:rsidR="00732D0F" w:rsidRPr="0050567D" w:rsidRDefault="00732D0F" w:rsidP="00732D0F">
      <w:pPr>
        <w:spacing w:line="480" w:lineRule="auto"/>
        <w:jc w:val="both"/>
        <w:rPr>
          <w:b/>
          <w:bCs/>
          <w:sz w:val="22"/>
          <w:szCs w:val="22"/>
        </w:rPr>
      </w:pPr>
    </w:p>
    <w:p w14:paraId="2FE31926" w14:textId="77777777" w:rsidR="00732D0F" w:rsidRPr="0050567D" w:rsidRDefault="00732D0F" w:rsidP="00732D0F">
      <w:pPr>
        <w:spacing w:line="480" w:lineRule="auto"/>
        <w:jc w:val="both"/>
        <w:rPr>
          <w:b/>
          <w:bCs/>
          <w:sz w:val="22"/>
          <w:szCs w:val="22"/>
        </w:rPr>
      </w:pPr>
      <w:r w:rsidRPr="0050567D">
        <w:rPr>
          <w:b/>
          <w:bCs/>
          <w:sz w:val="22"/>
          <w:szCs w:val="22"/>
        </w:rPr>
        <w:t>Figure S2.</w:t>
      </w:r>
      <w:r w:rsidRPr="0050567D">
        <w:rPr>
          <w:sz w:val="22"/>
          <w:szCs w:val="22"/>
        </w:rPr>
        <w:t xml:space="preserve"> Additional quality control elements support the robustness of the single-cell transcriptome sequencing technique. (A) Ribosomal RNA percentage shows almost no ribosomal RNA detected in the raw data of all samples. (B) Mitochondrial RNA percentage shows less than 10% of overall mitochondrial gene expression among all genes for all samples.</w:t>
      </w:r>
      <w:r w:rsidR="008B74DA">
        <w:rPr>
          <w:sz w:val="22"/>
          <w:szCs w:val="22"/>
        </w:rPr>
        <w:t xml:space="preserve"> Plots </w:t>
      </w:r>
      <w:proofErr w:type="gramStart"/>
      <w:r w:rsidR="008B74DA">
        <w:rPr>
          <w:sz w:val="22"/>
          <w:szCs w:val="22"/>
        </w:rPr>
        <w:t>were obtained</w:t>
      </w:r>
      <w:proofErr w:type="gramEnd"/>
      <w:r w:rsidR="008B74DA">
        <w:rPr>
          <w:sz w:val="22"/>
          <w:szCs w:val="22"/>
        </w:rPr>
        <w:t xml:space="preserve"> using</w:t>
      </w:r>
      <w:r w:rsidR="008B74DA" w:rsidRPr="0050567D">
        <w:rPr>
          <w:rFonts w:eastAsia="Arial"/>
          <w:sz w:val="22"/>
          <w:szCs w:val="22"/>
        </w:rPr>
        <w:t xml:space="preserve"> </w:t>
      </w:r>
      <w:proofErr w:type="spellStart"/>
      <w:r w:rsidR="008B74DA" w:rsidRPr="0050567D">
        <w:rPr>
          <w:rFonts w:eastAsia="Arial"/>
          <w:sz w:val="22"/>
          <w:szCs w:val="22"/>
        </w:rPr>
        <w:t>CogentAP</w:t>
      </w:r>
      <w:proofErr w:type="spellEnd"/>
      <w:r w:rsidR="008B74DA" w:rsidRPr="0050567D">
        <w:rPr>
          <w:rFonts w:eastAsia="Arial"/>
          <w:sz w:val="22"/>
          <w:szCs w:val="22"/>
        </w:rPr>
        <w:t xml:space="preserve"> pipeline (Cogent NGS Analysis Pipeline, Takara Bio)</w:t>
      </w:r>
      <w:r w:rsidR="008B74DA">
        <w:rPr>
          <w:rFonts w:eastAsia="Arial"/>
          <w:sz w:val="22"/>
          <w:szCs w:val="22"/>
        </w:rPr>
        <w:t xml:space="preserve">. </w:t>
      </w:r>
    </w:p>
    <w:p w14:paraId="364894BB" w14:textId="77777777" w:rsidR="00732D0F" w:rsidRPr="00136AFB" w:rsidRDefault="00732D0F" w:rsidP="00732D0F">
      <w:pPr>
        <w:spacing w:line="480" w:lineRule="auto"/>
        <w:jc w:val="both"/>
        <w:rPr>
          <w:bCs/>
          <w:sz w:val="22"/>
          <w:szCs w:val="22"/>
        </w:rPr>
      </w:pPr>
    </w:p>
    <w:p w14:paraId="2C54295B" w14:textId="72E3B150" w:rsidR="0098756A" w:rsidRDefault="0098756A" w:rsidP="0098756A">
      <w:pPr>
        <w:spacing w:line="480" w:lineRule="auto"/>
        <w:jc w:val="both"/>
        <w:rPr>
          <w:sz w:val="22"/>
          <w:szCs w:val="22"/>
        </w:rPr>
      </w:pPr>
      <w:r w:rsidRPr="00DA52A4">
        <w:rPr>
          <w:b/>
          <w:sz w:val="22"/>
          <w:szCs w:val="22"/>
        </w:rPr>
        <w:t>Figure S3.</w:t>
      </w:r>
      <w:r w:rsidRPr="00136AFB">
        <w:rPr>
          <w:sz w:val="22"/>
          <w:szCs w:val="22"/>
        </w:rPr>
        <w:t xml:space="preserve"> No difference in the expression of cell cycle marker genes between WT and BS cells </w:t>
      </w:r>
      <w:proofErr w:type="gramStart"/>
      <w:r w:rsidRPr="00136AFB">
        <w:rPr>
          <w:sz w:val="22"/>
          <w:szCs w:val="22"/>
        </w:rPr>
        <w:t>was observed</w:t>
      </w:r>
      <w:proofErr w:type="gramEnd"/>
      <w:r w:rsidRPr="00136AFB">
        <w:rPr>
          <w:sz w:val="22"/>
          <w:szCs w:val="22"/>
        </w:rPr>
        <w:t>. All fibroblast cell</w:t>
      </w:r>
      <w:r w:rsidR="003B3AA0">
        <w:rPr>
          <w:sz w:val="22"/>
          <w:szCs w:val="22"/>
        </w:rPr>
        <w:t xml:space="preserve"> sample</w:t>
      </w:r>
      <w:r w:rsidRPr="00136AFB">
        <w:rPr>
          <w:sz w:val="22"/>
          <w:szCs w:val="22"/>
        </w:rPr>
        <w:t>s analyzed presented</w:t>
      </w:r>
      <w:r w:rsidR="003B3AA0">
        <w:rPr>
          <w:sz w:val="22"/>
          <w:szCs w:val="22"/>
        </w:rPr>
        <w:t xml:space="preserve"> similar proportions o</w:t>
      </w:r>
      <w:r w:rsidR="00D13466">
        <w:rPr>
          <w:sz w:val="22"/>
          <w:szCs w:val="22"/>
        </w:rPr>
        <w:t xml:space="preserve">n </w:t>
      </w:r>
      <w:r w:rsidR="003B3AA0">
        <w:rPr>
          <w:sz w:val="22"/>
          <w:szCs w:val="22"/>
        </w:rPr>
        <w:t>cell cycle phases</w:t>
      </w:r>
      <w:r w:rsidR="00D13466">
        <w:rPr>
          <w:sz w:val="22"/>
          <w:szCs w:val="22"/>
        </w:rPr>
        <w:t>,</w:t>
      </w:r>
      <w:r w:rsidR="003B3AA0">
        <w:rPr>
          <w:sz w:val="22"/>
          <w:szCs w:val="22"/>
        </w:rPr>
        <w:t xml:space="preserve"> e.g., G1 and G2/M. </w:t>
      </w:r>
      <w:r w:rsidRPr="00136AFB">
        <w:rPr>
          <w:sz w:val="22"/>
          <w:szCs w:val="22"/>
        </w:rPr>
        <w:t>Ridge plots show expression levels of specific cyclins such as</w:t>
      </w:r>
      <w:r w:rsidR="003B3AA0">
        <w:rPr>
          <w:sz w:val="22"/>
          <w:szCs w:val="22"/>
        </w:rPr>
        <w:t xml:space="preserve"> (A)</w:t>
      </w:r>
      <w:r w:rsidRPr="00136AFB">
        <w:rPr>
          <w:sz w:val="22"/>
          <w:szCs w:val="22"/>
        </w:rPr>
        <w:t xml:space="preserve"> </w:t>
      </w:r>
      <w:r w:rsidRPr="00136AFB">
        <w:rPr>
          <w:i/>
          <w:sz w:val="22"/>
          <w:szCs w:val="22"/>
        </w:rPr>
        <w:t>CCNA2,</w:t>
      </w:r>
      <w:r w:rsidR="003B3AA0">
        <w:rPr>
          <w:i/>
          <w:sz w:val="22"/>
          <w:szCs w:val="22"/>
        </w:rPr>
        <w:t xml:space="preserve"> </w:t>
      </w:r>
      <w:r w:rsidR="003B3AA0" w:rsidRPr="003B3AA0">
        <w:rPr>
          <w:sz w:val="22"/>
          <w:szCs w:val="22"/>
        </w:rPr>
        <w:t>(B)</w:t>
      </w:r>
      <w:r w:rsidRPr="00136AFB">
        <w:rPr>
          <w:i/>
          <w:sz w:val="22"/>
          <w:szCs w:val="22"/>
        </w:rPr>
        <w:t xml:space="preserve"> CCNB2, </w:t>
      </w:r>
      <w:r w:rsidR="003B3AA0" w:rsidRPr="003B3AA0">
        <w:rPr>
          <w:sz w:val="22"/>
          <w:szCs w:val="22"/>
        </w:rPr>
        <w:t>(C)</w:t>
      </w:r>
      <w:r w:rsidR="003B3AA0">
        <w:rPr>
          <w:i/>
          <w:sz w:val="22"/>
          <w:szCs w:val="22"/>
        </w:rPr>
        <w:t xml:space="preserve"> </w:t>
      </w:r>
      <w:r w:rsidRPr="00136AFB">
        <w:rPr>
          <w:i/>
          <w:sz w:val="22"/>
          <w:szCs w:val="22"/>
        </w:rPr>
        <w:t>CCND1</w:t>
      </w:r>
      <w:r w:rsidRPr="00136AFB">
        <w:rPr>
          <w:sz w:val="22"/>
          <w:szCs w:val="22"/>
        </w:rPr>
        <w:t xml:space="preserve">, and </w:t>
      </w:r>
      <w:r w:rsidR="003B3AA0">
        <w:rPr>
          <w:sz w:val="22"/>
          <w:szCs w:val="22"/>
        </w:rPr>
        <w:t xml:space="preserve">(D) </w:t>
      </w:r>
      <w:r w:rsidRPr="00136AFB">
        <w:rPr>
          <w:i/>
          <w:sz w:val="22"/>
          <w:szCs w:val="22"/>
        </w:rPr>
        <w:t>CCNE1</w:t>
      </w:r>
      <w:r w:rsidRPr="00136AFB">
        <w:rPr>
          <w:sz w:val="22"/>
          <w:szCs w:val="22"/>
        </w:rPr>
        <w:t xml:space="preserve"> in wild type</w:t>
      </w:r>
      <w:r w:rsidR="003B3AA0">
        <w:rPr>
          <w:sz w:val="22"/>
          <w:szCs w:val="22"/>
        </w:rPr>
        <w:t xml:space="preserve"> (WT)</w:t>
      </w:r>
      <w:r w:rsidRPr="00136AFB">
        <w:rPr>
          <w:sz w:val="22"/>
          <w:szCs w:val="22"/>
        </w:rPr>
        <w:t xml:space="preserve"> and Bloom syndrome</w:t>
      </w:r>
      <w:r w:rsidR="003B3AA0">
        <w:rPr>
          <w:sz w:val="22"/>
          <w:szCs w:val="22"/>
        </w:rPr>
        <w:t xml:space="preserve"> (BS)</w:t>
      </w:r>
      <w:r w:rsidRPr="00136AFB">
        <w:rPr>
          <w:sz w:val="22"/>
          <w:szCs w:val="22"/>
        </w:rPr>
        <w:t xml:space="preserve"> single-cell groups.</w:t>
      </w:r>
      <w:r w:rsidR="00375D51">
        <w:rPr>
          <w:sz w:val="22"/>
          <w:szCs w:val="22"/>
        </w:rPr>
        <w:t xml:space="preserve"> Briefly, a score for each cell was determined based on the expression of a setup of G2/M- and S phase-specific marke</w:t>
      </w:r>
      <w:r w:rsidR="008C5C9F">
        <w:rPr>
          <w:sz w:val="22"/>
          <w:szCs w:val="22"/>
        </w:rPr>
        <w:t>rs. Then,</w:t>
      </w:r>
      <w:r w:rsidR="00375D51">
        <w:rPr>
          <w:sz w:val="22"/>
          <w:szCs w:val="22"/>
        </w:rPr>
        <w:t xml:space="preserve"> the expression </w:t>
      </w:r>
      <w:r w:rsidR="008C5C9F">
        <w:rPr>
          <w:sz w:val="22"/>
          <w:szCs w:val="22"/>
        </w:rPr>
        <w:t xml:space="preserve">levels </w:t>
      </w:r>
      <w:r w:rsidR="00375D51">
        <w:rPr>
          <w:sz w:val="22"/>
          <w:szCs w:val="22"/>
        </w:rPr>
        <w:t xml:space="preserve">of different cyclins </w:t>
      </w:r>
      <w:proofErr w:type="gramStart"/>
      <w:r w:rsidR="00375D51">
        <w:rPr>
          <w:sz w:val="22"/>
          <w:szCs w:val="22"/>
        </w:rPr>
        <w:t>were compared</w:t>
      </w:r>
      <w:proofErr w:type="gramEnd"/>
      <w:r w:rsidR="00375D51">
        <w:rPr>
          <w:sz w:val="22"/>
          <w:szCs w:val="22"/>
        </w:rPr>
        <w:t xml:space="preserve"> between two cell groups</w:t>
      </w:r>
      <w:r w:rsidR="008C5C9F">
        <w:rPr>
          <w:sz w:val="22"/>
          <w:szCs w:val="22"/>
        </w:rPr>
        <w:t xml:space="preserve"> (WT and BS)</w:t>
      </w:r>
      <w:r w:rsidR="00375D51">
        <w:rPr>
          <w:sz w:val="22"/>
          <w:szCs w:val="22"/>
        </w:rPr>
        <w:t>.</w:t>
      </w:r>
      <w:r w:rsidRPr="00136AFB">
        <w:rPr>
          <w:sz w:val="22"/>
          <w:szCs w:val="22"/>
        </w:rPr>
        <w:t xml:space="preserve"> Expression level </w:t>
      </w:r>
      <w:proofErr w:type="gramStart"/>
      <w:r w:rsidRPr="00136AFB">
        <w:rPr>
          <w:sz w:val="22"/>
          <w:szCs w:val="22"/>
        </w:rPr>
        <w:t>is given</w:t>
      </w:r>
      <w:proofErr w:type="gramEnd"/>
      <w:r w:rsidRPr="00136AFB">
        <w:rPr>
          <w:sz w:val="22"/>
          <w:szCs w:val="22"/>
        </w:rPr>
        <w:t xml:space="preserve"> on</w:t>
      </w:r>
      <w:r>
        <w:rPr>
          <w:sz w:val="22"/>
          <w:szCs w:val="22"/>
        </w:rPr>
        <w:t xml:space="preserve"> the x-axis and the distribution of the </w:t>
      </w:r>
      <w:r w:rsidR="004D26D2">
        <w:rPr>
          <w:sz w:val="22"/>
          <w:szCs w:val="22"/>
        </w:rPr>
        <w:t>number</w:t>
      </w:r>
      <w:r w:rsidRPr="00E753F1">
        <w:rPr>
          <w:sz w:val="22"/>
          <w:szCs w:val="22"/>
        </w:rPr>
        <w:t xml:space="preserve"> of cells per cell-</w:t>
      </w:r>
      <w:r>
        <w:rPr>
          <w:sz w:val="22"/>
          <w:szCs w:val="22"/>
        </w:rPr>
        <w:t xml:space="preserve">cycle </w:t>
      </w:r>
      <w:r w:rsidRPr="00E753F1">
        <w:rPr>
          <w:sz w:val="22"/>
          <w:szCs w:val="22"/>
        </w:rPr>
        <w:t>phase</w:t>
      </w:r>
      <w:r>
        <w:rPr>
          <w:sz w:val="22"/>
          <w:szCs w:val="22"/>
        </w:rPr>
        <w:t xml:space="preserve"> is shown on the y-axis (G1 or G2/M)</w:t>
      </w:r>
      <w:r w:rsidRPr="00E753F1">
        <w:rPr>
          <w:sz w:val="22"/>
          <w:szCs w:val="22"/>
        </w:rPr>
        <w:t>.</w:t>
      </w:r>
      <w:r>
        <w:rPr>
          <w:sz w:val="22"/>
          <w:szCs w:val="22"/>
        </w:rPr>
        <w:t xml:space="preserve"> Higher peaks represent more cells having the corresponding </w:t>
      </w:r>
      <w:r>
        <w:rPr>
          <w:sz w:val="22"/>
          <w:szCs w:val="22"/>
        </w:rPr>
        <w:lastRenderedPageBreak/>
        <w:t>expression level for the related gene.</w:t>
      </w:r>
      <w:r w:rsidRPr="00E753F1">
        <w:rPr>
          <w:sz w:val="22"/>
          <w:szCs w:val="22"/>
        </w:rPr>
        <w:t xml:space="preserve"> </w:t>
      </w:r>
      <w:r>
        <w:rPr>
          <w:sz w:val="22"/>
          <w:szCs w:val="22"/>
        </w:rPr>
        <w:t xml:space="preserve">Plots were generated as described in </w:t>
      </w:r>
      <w:r>
        <w:rPr>
          <w:sz w:val="22"/>
          <w:szCs w:val="22"/>
        </w:rPr>
        <w:fldChar w:fldCharType="begin" w:fldLock="1"/>
      </w:r>
      <w:r w:rsidR="00FB75EA">
        <w:rPr>
          <w:sz w:val="22"/>
          <w:szCs w:val="22"/>
        </w:rPr>
        <w:instrText>ADDIN CSL_CITATION {"citationItems":[{"id":"ITEM-1","itemData":{"DOI":"10.1016/j.cell.2021.10.002","ISSN":"00928674","PMID":"34672952","abstract":"Cells repair DNA double-strand breaks (DSBs) through a complex set of pathways critical for maintaining genomic integrity. To systematically map these pathways, we developed a high-throughput screening approach called Repair-seq that measures the effects of thousands of genetic perturbations on mutations introduced at targeted DNA lesions. Using Repair-seq, we profiled DSB repair products induced by two programmable nucleases (Cas9 and Cas12a) in the presence or absence of oligonucleotides for homology-directed repair (HDR) after knockdown of 476 genes involved in DSB repair or associated processes. The resulting data enabled principled, data-driven inference of DSB end joining and HDR pathways. Systematic interrogation of this data uncovered unexpected relationships among DSB repair genes and demonstrated that repair outcomes with superficially similar sequence architectures can have markedly different genetic dependencies. This work provides a foundation for mapping DNA repair pathways and for optimizing genome editing across diverse modalities.","author":[{"dropping-particle":"","family":"Hussmann","given":"Jeffrey A.","non-dropping-particle":"","parse-names":false,"suffix":""},{"dropping-particle":"","family":"Ling","given":"Jia","non-dropping-particle":"","parse-names":false,"suffix":""},{"dropping-particle":"","family":"Ravisankar","given":"Purnima","non-dropping-particle":"","parse-names":false,"suffix":""},{"dropping-particle":"","family":"Yan","given":"Jun","non-dropping-particle":"","parse-names":false,"suffix":""},{"dropping-particle":"","family":"Cirincione","given":"Ann","non-dropping-particle":"","parse-names":false,"suffix":""},{"dropping-particle":"","family":"Xu","given":"Albert","non-dropping-particle":"","parse-names":false,"suffix":""},{"dropping-particle":"","family":"Simpson","given":"Danny","non-dropping-particle":"","parse-names":false,"suffix":""},{"dropping-particle":"","family":"Yang","given":"Dian","non-dropping-particle":"","parse-names":false,"suffix":""},{"dropping-particle":"","family":"Bothmer","given":"Anne","non-dropping-particle":"","parse-names":false,"suffix":""},{"dropping-particle":"","family":"Cotta-Ramusino","given":"Cecilia","non-dropping-particle":"","parse-names":false,"suffix":""},{"dropping-particle":"","family":"Weissman","given":"Jonathan S.","non-dropping-particle":"","parse-names":false,"suffix":""},{"dropping-particle":"","family":"Adamson","given":"Britt","non-dropping-particle":"","parse-names":false,"suffix":""}],"container-title":"Cell","id":"ITEM-1","issue":"22","issued":{"date-parts":[["2021"]]},"page":"5653-5669.e25","publisher":"Elsevier Inc.","title":"Mapping the genetic landscape of DNA double-strand break repair","type":"article-journal","volume":"184"},"uris":["http://www.mendeley.com/documents/?uuid=584290a5-3953-43e3-b3f0-deddf1ed6b0d"]}],"mendeley":{"formattedCitation":"(1)","plainTextFormattedCitation":"(1)","previouslyFormattedCitation":"(1)"},"properties":{"noteIndex":0},"schema":"https://github.com/citation-style-language/schema/raw/master/csl-citation.json"}</w:instrText>
      </w:r>
      <w:r>
        <w:rPr>
          <w:sz w:val="22"/>
          <w:szCs w:val="22"/>
        </w:rPr>
        <w:fldChar w:fldCharType="separate"/>
      </w:r>
      <w:r w:rsidRPr="00535B0B">
        <w:rPr>
          <w:noProof/>
          <w:sz w:val="22"/>
          <w:szCs w:val="22"/>
        </w:rPr>
        <w:t>(1)</w:t>
      </w:r>
      <w:r>
        <w:rPr>
          <w:sz w:val="22"/>
          <w:szCs w:val="22"/>
        </w:rPr>
        <w:fldChar w:fldCharType="end"/>
      </w:r>
      <w:r w:rsidR="008B2CB3">
        <w:rPr>
          <w:sz w:val="22"/>
          <w:szCs w:val="22"/>
        </w:rPr>
        <w:t xml:space="preserve"> using </w:t>
      </w:r>
      <w:r w:rsidR="00D3730E">
        <w:rPr>
          <w:sz w:val="22"/>
          <w:szCs w:val="22"/>
        </w:rPr>
        <w:t xml:space="preserve">the vignette of Seurat </w:t>
      </w:r>
      <w:r w:rsidR="00D3730E">
        <w:rPr>
          <w:sz w:val="22"/>
          <w:szCs w:val="22"/>
        </w:rPr>
        <w:fldChar w:fldCharType="begin" w:fldLock="1"/>
      </w:r>
      <w:r w:rsidR="00D3730E">
        <w:rPr>
          <w:sz w:val="22"/>
          <w:szCs w:val="22"/>
        </w:rPr>
        <w:instrText>ADDIN CSL_CITATION {"citationItems":[{"id":"ITEM-1","itemData":{"DOI":"https://doi.org/10.1016/j.cell.2021.04.048","ISSN":"0092-8674","abstract":"Summary The simultaneous measurement of multiple modalities represents an exciting frontier for single-cell genomics and necessitates computational methods that can define cellular states based on multimodal data. Here, we introduce “weighted-nearest neighbor” analysis, an unsupervised framework to learn the relative utility of each data type in each cell, enabling an integrative analysis of multiple modalities. We apply our procedure to a CITE-seq dataset of 211,000 human peripheral blood mononuclear cells (PBMCs) with panels extending to 228 antibodies to construct a multimodal reference atlas of the circulating immune system. Multimodal analysis substantially improves our ability to resolve cell states, allowing us to identify and validate previously unreported lymphoid subpopulations. Moreover, we demonstrate how to leverage this reference to rapidly map new datasets and to interpret immune responses to vaccination and coronavirus disease 2019 (COVID-19). Our approach represents a broadly applicable strategy to analyze single-cell multimodal datasets and to look beyond the transcriptome toward a unified and multimodal definition of cellular identity.","author":[{"dropping-particle":"","family":"Hao","given":"Yuhan","non-dropping-particle":"","parse-names":false,"suffix":""},{"dropping-particle":"","family":"Hao","given":"Stephanie","non-dropping-particle":"","parse-names":false,"suffix":""},{"dropping-particle":"","family":"Andersen-Nissen","given":"Erica","non-dropping-particle":"","parse-names":false,"suffix":""},{"dropping-particle":"","family":"Mauck","given":"William M","non-dropping-particle":"","parse-names":false,"suffix":""},{"dropping-particle":"","family":"Zheng","given":"Shiwei","non-dropping-particle":"","parse-names":false,"suffix":""},{"dropping-particle":"","family":"Butler","given":"Andrew","non-dropping-particle":"","parse-names":false,"suffix":""},{"dropping-particle":"","family":"Lee","given":"Maddie J","non-dropping-particle":"","parse-names":false,"suffix":""},{"dropping-particle":"","family":"Wilk","given":"Aaron J","non-dropping-particle":"","parse-names":false,"suffix":""},{"dropping-particle":"","family":"Darby","given":"Charlotte","non-dropping-particle":"","parse-names":false,"suffix":""},{"dropping-particle":"","family":"Zager","given":"Michael","non-dropping-particle":"","parse-names":false,"suffix":""},{"dropping-particle":"","family":"Hoffman","given":"Paul","non-dropping-particle":"","parse-names":false,"suffix":""},{"dropping-particle":"","family":"Stoeckius","given":"Marlon","non-dropping-particle":"","parse-names":false,"suffix":""},{"dropping-particle":"","family":"Papalexi","given":"Efthymia","non-dropping-particle":"","parse-names":false,"suffix":""},{"dropping-particle":"","family":"Mimitou","given":"Eleni P","non-dropping-particle":"","parse-names":false,"suffix":""},{"dropping-particle":"","family":"Jain","given":"Jaison","non-dropping-particle":"","parse-names":false,"suffix":""},{"dropping-particle":"","family":"Srivastava","given":"Avi","non-dropping-particle":"","parse-names":false,"suffix":""},{"dropping-particle":"","family":"Stuart","given":"Tim","non-dropping-particle":"","parse-names":false,"suffix":""},{"dropping-particle":"","family":"Fleming","given":"Lamar M","non-dropping-particle":"","parse-names":false,"suffix":""},{"dropping-particle":"","family":"Yeung","given":"Bertrand","non-dropping-particle":"","parse-names":false,"suffix":""},{"dropping-particle":"","family":"Rogers","given":"Angela J","non-dropping-particle":"","parse-names":false,"suffix":""},{"dropping-particle":"","family":"McElrath","given":"Juliana M","non-dropping-particle":"","parse-names":false,"suffix":""},{"dropping-particle":"","family":"Blish","given":"Catherine A","non-dropping-particle":"","parse-names":false,"suffix":""},{"dropping-particle":"","family":"Gottardo","given":"Raphael","non-dropping-particle":"","parse-names":false,"suffix":""},{"dropping-particle":"","family":"Smibert","given":"Peter","non-dropping-particle":"","parse-names":false,"suffix":""},{"dropping-particle":"","family":"Satija","given":"Rahul","non-dropping-particle":"","parse-names":false,"suffix":""}],"container-title":"Cell","id":"ITEM-1","issue":"13","issued":{"date-parts":[["2021"]]},"note":"Seurat vignette","page":"3573-3587.e29","title":"Integrated analysis of multimodal single-cell data","type":"article-journal","volume":"184"},"uris":["http://www.mendeley.com/documents/?uuid=8fe72a0d-3b31-45d2-a25b-8d3a831ab969"]}],"mendeley":{"formattedCitation":"(2)","plainTextFormattedCitation":"(2)"},"properties":{"noteIndex":0},"schema":"https://github.com/citation-style-language/schema/raw/master/csl-citation.json"}</w:instrText>
      </w:r>
      <w:r w:rsidR="00D3730E">
        <w:rPr>
          <w:sz w:val="22"/>
          <w:szCs w:val="22"/>
        </w:rPr>
        <w:fldChar w:fldCharType="separate"/>
      </w:r>
      <w:r w:rsidR="00D3730E" w:rsidRPr="00D3730E">
        <w:rPr>
          <w:noProof/>
          <w:sz w:val="22"/>
          <w:szCs w:val="22"/>
        </w:rPr>
        <w:t>(2)</w:t>
      </w:r>
      <w:r w:rsidR="00D3730E">
        <w:rPr>
          <w:sz w:val="22"/>
          <w:szCs w:val="22"/>
        </w:rPr>
        <w:fldChar w:fldCharType="end"/>
      </w:r>
      <w:r>
        <w:rPr>
          <w:sz w:val="22"/>
          <w:szCs w:val="22"/>
        </w:rPr>
        <w:t xml:space="preserve">. </w:t>
      </w:r>
    </w:p>
    <w:p w14:paraId="29D3BAD0" w14:textId="77777777" w:rsidR="00732D0F" w:rsidRPr="0050567D" w:rsidRDefault="00732D0F" w:rsidP="00732D0F">
      <w:pPr>
        <w:spacing w:line="480" w:lineRule="auto"/>
        <w:jc w:val="both"/>
        <w:rPr>
          <w:b/>
          <w:bCs/>
          <w:sz w:val="22"/>
          <w:szCs w:val="22"/>
        </w:rPr>
      </w:pPr>
    </w:p>
    <w:p w14:paraId="360D5D94" w14:textId="4C484ABD" w:rsidR="00FB75EA" w:rsidRPr="00823411" w:rsidRDefault="00952C8A" w:rsidP="00FB75EA">
      <w:pPr>
        <w:spacing w:line="480" w:lineRule="auto"/>
        <w:jc w:val="both"/>
        <w:rPr>
          <w:rFonts w:eastAsia="Merriweather"/>
          <w:b/>
          <w:color w:val="2A2A2A"/>
          <w:sz w:val="22"/>
          <w:szCs w:val="22"/>
          <w:highlight w:val="white"/>
        </w:rPr>
      </w:pPr>
      <w:r w:rsidRPr="0030685B">
        <w:rPr>
          <w:b/>
          <w:sz w:val="22"/>
          <w:szCs w:val="22"/>
        </w:rPr>
        <w:t>Figure S4</w:t>
      </w:r>
      <w:r>
        <w:rPr>
          <w:sz w:val="22"/>
          <w:szCs w:val="22"/>
        </w:rPr>
        <w:t>.</w:t>
      </w:r>
      <w:r w:rsidR="00137329">
        <w:rPr>
          <w:sz w:val="22"/>
          <w:szCs w:val="22"/>
        </w:rPr>
        <w:t xml:space="preserve"> </w:t>
      </w:r>
      <w:r w:rsidR="00FB75EA" w:rsidRPr="0050567D">
        <w:rPr>
          <w:rFonts w:eastAsia="Arial"/>
          <w:sz w:val="22"/>
          <w:szCs w:val="22"/>
        </w:rPr>
        <w:t xml:space="preserve">Gene expression levels (counts per 10,000) of each individual sample </w:t>
      </w:r>
      <w:r w:rsidR="00FB75EA">
        <w:rPr>
          <w:rFonts w:eastAsia="Arial"/>
          <w:sz w:val="22"/>
          <w:szCs w:val="22"/>
        </w:rPr>
        <w:t xml:space="preserve">(two WT and three BS samples) </w:t>
      </w:r>
      <w:proofErr w:type="gramStart"/>
      <w:r w:rsidR="00FB75EA" w:rsidRPr="0050567D">
        <w:rPr>
          <w:rFonts w:eastAsia="Arial"/>
          <w:sz w:val="22"/>
          <w:szCs w:val="22"/>
        </w:rPr>
        <w:t>are shown</w:t>
      </w:r>
      <w:proofErr w:type="gramEnd"/>
      <w:r w:rsidR="00FB75EA" w:rsidRPr="0050567D">
        <w:rPr>
          <w:rFonts w:eastAsia="Arial"/>
          <w:sz w:val="22"/>
          <w:szCs w:val="22"/>
        </w:rPr>
        <w:t xml:space="preserve"> for different genes on a single-cell level. From left to right; on the upper row </w:t>
      </w:r>
      <w:r w:rsidR="00FB75EA" w:rsidRPr="0050567D">
        <w:rPr>
          <w:rFonts w:eastAsia="Arial"/>
          <w:i/>
          <w:sz w:val="22"/>
          <w:szCs w:val="22"/>
        </w:rPr>
        <w:t>BRCA1</w:t>
      </w:r>
      <w:r w:rsidR="00FB75EA" w:rsidRPr="0050567D">
        <w:rPr>
          <w:rFonts w:eastAsia="Arial"/>
          <w:sz w:val="22"/>
          <w:szCs w:val="22"/>
        </w:rPr>
        <w:t xml:space="preserve">, </w:t>
      </w:r>
      <w:r w:rsidR="00FB75EA" w:rsidRPr="0050567D">
        <w:rPr>
          <w:rFonts w:eastAsia="Arial"/>
          <w:i/>
          <w:sz w:val="22"/>
          <w:szCs w:val="22"/>
        </w:rPr>
        <w:t>FANCD2</w:t>
      </w:r>
      <w:r w:rsidR="00FB75EA" w:rsidRPr="0050567D">
        <w:rPr>
          <w:rFonts w:eastAsia="Arial"/>
          <w:sz w:val="22"/>
          <w:szCs w:val="22"/>
        </w:rPr>
        <w:t xml:space="preserve">, and </w:t>
      </w:r>
      <w:r w:rsidR="00FB75EA" w:rsidRPr="0050567D">
        <w:rPr>
          <w:rFonts w:eastAsia="Arial"/>
          <w:i/>
          <w:sz w:val="22"/>
          <w:szCs w:val="22"/>
        </w:rPr>
        <w:t>FANCM</w:t>
      </w:r>
      <w:r w:rsidR="00FB75EA">
        <w:rPr>
          <w:rFonts w:eastAsia="Arial"/>
          <w:sz w:val="22"/>
          <w:szCs w:val="22"/>
        </w:rPr>
        <w:t xml:space="preserve">, from the </w:t>
      </w:r>
      <w:proofErr w:type="spellStart"/>
      <w:r w:rsidR="00FB75EA">
        <w:rPr>
          <w:rFonts w:eastAsia="Arial"/>
          <w:sz w:val="22"/>
          <w:szCs w:val="22"/>
        </w:rPr>
        <w:t>Fanconi</w:t>
      </w:r>
      <w:proofErr w:type="spellEnd"/>
      <w:r w:rsidR="00FB75EA">
        <w:rPr>
          <w:rFonts w:eastAsia="Arial"/>
          <w:sz w:val="22"/>
          <w:szCs w:val="22"/>
        </w:rPr>
        <w:t xml:space="preserve"> anemia pathway; </w:t>
      </w:r>
      <w:r w:rsidR="00FB75EA" w:rsidRPr="0050567D">
        <w:rPr>
          <w:rFonts w:eastAsia="Arial"/>
          <w:sz w:val="22"/>
          <w:szCs w:val="22"/>
        </w:rPr>
        <w:t xml:space="preserve">and on the bottom row </w:t>
      </w:r>
      <w:r w:rsidR="00FB75EA" w:rsidRPr="0050567D">
        <w:rPr>
          <w:rFonts w:eastAsia="Arial"/>
          <w:i/>
          <w:sz w:val="22"/>
          <w:szCs w:val="22"/>
        </w:rPr>
        <w:t>NCAPG2,</w:t>
      </w:r>
      <w:r w:rsidR="00FB75EA" w:rsidRPr="0050567D">
        <w:rPr>
          <w:rFonts w:eastAsia="Arial"/>
          <w:sz w:val="22"/>
          <w:szCs w:val="22"/>
        </w:rPr>
        <w:t xml:space="preserve"> </w:t>
      </w:r>
      <w:r w:rsidR="00FB75EA" w:rsidRPr="0050567D">
        <w:rPr>
          <w:rFonts w:eastAsia="Arial"/>
          <w:i/>
          <w:sz w:val="22"/>
          <w:szCs w:val="22"/>
        </w:rPr>
        <w:t>SMC2,</w:t>
      </w:r>
      <w:r w:rsidR="00FB75EA" w:rsidRPr="0050567D">
        <w:rPr>
          <w:rFonts w:eastAsia="Arial"/>
          <w:sz w:val="22"/>
          <w:szCs w:val="22"/>
        </w:rPr>
        <w:t xml:space="preserve"> and </w:t>
      </w:r>
      <w:r w:rsidR="00FB75EA" w:rsidRPr="0050567D">
        <w:rPr>
          <w:rFonts w:eastAsia="Arial"/>
          <w:i/>
          <w:sz w:val="22"/>
          <w:szCs w:val="22"/>
        </w:rPr>
        <w:t>SMC4</w:t>
      </w:r>
      <w:r w:rsidR="00FB75EA" w:rsidRPr="0050567D">
        <w:rPr>
          <w:rFonts w:eastAsia="Arial"/>
          <w:sz w:val="22"/>
          <w:szCs w:val="22"/>
        </w:rPr>
        <w:t xml:space="preserve"> </w:t>
      </w:r>
      <w:r w:rsidR="00FB75EA">
        <w:rPr>
          <w:rFonts w:eastAsia="Arial"/>
          <w:sz w:val="22"/>
          <w:szCs w:val="22"/>
        </w:rPr>
        <w:t xml:space="preserve">presenting </w:t>
      </w:r>
      <w:r w:rsidR="00FB75EA" w:rsidRPr="0050567D">
        <w:rPr>
          <w:rFonts w:eastAsia="Arial"/>
          <w:sz w:val="22"/>
          <w:szCs w:val="22"/>
        </w:rPr>
        <w:t xml:space="preserve">genes </w:t>
      </w:r>
      <w:r w:rsidR="00FB75EA">
        <w:rPr>
          <w:rFonts w:eastAsia="Arial"/>
          <w:sz w:val="22"/>
          <w:szCs w:val="22"/>
        </w:rPr>
        <w:t xml:space="preserve">encoding </w:t>
      </w:r>
      <w:proofErr w:type="spellStart"/>
      <w:r w:rsidR="00FB75EA">
        <w:rPr>
          <w:rFonts w:eastAsia="Arial"/>
          <w:sz w:val="22"/>
          <w:szCs w:val="22"/>
        </w:rPr>
        <w:t>condensin</w:t>
      </w:r>
      <w:proofErr w:type="spellEnd"/>
      <w:r w:rsidR="00FB75EA">
        <w:rPr>
          <w:rFonts w:eastAsia="Arial"/>
          <w:sz w:val="22"/>
          <w:szCs w:val="22"/>
        </w:rPr>
        <w:t xml:space="preserve"> complex I/II </w:t>
      </w:r>
      <w:proofErr w:type="gramStart"/>
      <w:r w:rsidR="00FB75EA" w:rsidRPr="0050567D">
        <w:rPr>
          <w:rFonts w:eastAsia="Arial"/>
          <w:sz w:val="22"/>
          <w:szCs w:val="22"/>
        </w:rPr>
        <w:t>are shown</w:t>
      </w:r>
      <w:proofErr w:type="gramEnd"/>
      <w:r w:rsidR="00FB75EA" w:rsidRPr="0050567D">
        <w:rPr>
          <w:rFonts w:eastAsia="Arial"/>
          <w:sz w:val="22"/>
          <w:szCs w:val="22"/>
        </w:rPr>
        <w:t xml:space="preserve">. The expression level differences of shown genes were significant after multiple test adjustments and the adjusted p-values </w:t>
      </w:r>
      <w:proofErr w:type="gramStart"/>
      <w:r w:rsidR="00FB75EA" w:rsidRPr="0050567D">
        <w:rPr>
          <w:rFonts w:eastAsia="Arial"/>
          <w:sz w:val="22"/>
          <w:szCs w:val="22"/>
        </w:rPr>
        <w:t>are given</w:t>
      </w:r>
      <w:proofErr w:type="gramEnd"/>
      <w:r w:rsidR="00FB75EA" w:rsidRPr="0050567D">
        <w:rPr>
          <w:rFonts w:eastAsia="Arial"/>
          <w:sz w:val="22"/>
          <w:szCs w:val="22"/>
        </w:rPr>
        <w:t xml:space="preserve"> in Supplementary Table 2. For the corresponding genes, the median expression levels were higher in BS than in WT. Visualization was done via R-package ggplot2 </w:t>
      </w:r>
      <w:r w:rsidR="00FB75EA" w:rsidRPr="0050567D">
        <w:rPr>
          <w:rFonts w:eastAsia="Arial"/>
          <w:sz w:val="22"/>
          <w:szCs w:val="22"/>
        </w:rPr>
        <w:fldChar w:fldCharType="begin" w:fldLock="1"/>
      </w:r>
      <w:r w:rsidR="00D3730E">
        <w:rPr>
          <w:rFonts w:eastAsia="Arial"/>
          <w:sz w:val="22"/>
          <w:szCs w:val="22"/>
        </w:rPr>
        <w:instrText>ADDIN CSL_CITATION {"citationItems":[{"id":"ITEM-1","itemData":{"ISBN":"978-3-319-24277-4","author":[{"dropping-particle":"","family":"Wickham","given":"Hadley","non-dropping-particle":"","parse-names":false,"suffix":""},{"dropping-particle":"","family":"Navarro","given":"Danielle","non-dropping-particle":"","parse-names":false,"suffix":""},{"dropping-particle":"","family":"Pedersen","given":"Thomas Lin","non-dropping-particle":"","parse-names":false,"suffix":""}],"edition":"3","id":"ITEM-1","issued":{"date-parts":[["2016"]]},"publisher":"Springer, New York, NY","publisher-place":"New York, NY","title":"ggplot2, Elegant Graphics for Data Analysis","type":"book"},"uris":["http://www.mendeley.com/documents/?uuid=59aa8b35-a8af-431a-8769-f159f98d14c2"]}],"mendeley":{"formattedCitation":"(3)","plainTextFormattedCitation":"(3)","previouslyFormattedCitation":"(2)"},"properties":{"noteIndex":0},"schema":"https://github.com/citation-style-language/schema/raw/master/csl-citation.json"}</w:instrText>
      </w:r>
      <w:r w:rsidR="00FB75EA" w:rsidRPr="0050567D">
        <w:rPr>
          <w:rFonts w:eastAsia="Arial"/>
          <w:sz w:val="22"/>
          <w:szCs w:val="22"/>
        </w:rPr>
        <w:fldChar w:fldCharType="separate"/>
      </w:r>
      <w:r w:rsidR="00D3730E" w:rsidRPr="00D3730E">
        <w:rPr>
          <w:rFonts w:eastAsia="Arial"/>
          <w:noProof/>
          <w:sz w:val="22"/>
          <w:szCs w:val="22"/>
        </w:rPr>
        <w:t>(3)</w:t>
      </w:r>
      <w:r w:rsidR="00FB75EA" w:rsidRPr="0050567D">
        <w:rPr>
          <w:rFonts w:eastAsia="Arial"/>
          <w:sz w:val="22"/>
          <w:szCs w:val="22"/>
        </w:rPr>
        <w:fldChar w:fldCharType="end"/>
      </w:r>
      <w:r w:rsidR="00FB75EA" w:rsidRPr="0050567D">
        <w:rPr>
          <w:rFonts w:eastAsia="Arial"/>
          <w:sz w:val="22"/>
          <w:szCs w:val="22"/>
        </w:rPr>
        <w:t xml:space="preserve">. </w:t>
      </w:r>
    </w:p>
    <w:p w14:paraId="0B0244B2" w14:textId="77777777" w:rsidR="00FB75EA" w:rsidRDefault="00FB75EA" w:rsidP="00452487">
      <w:pPr>
        <w:spacing w:line="480" w:lineRule="auto"/>
        <w:jc w:val="both"/>
        <w:rPr>
          <w:sz w:val="22"/>
          <w:szCs w:val="22"/>
        </w:rPr>
      </w:pPr>
    </w:p>
    <w:p w14:paraId="6B7C14BB" w14:textId="25579623" w:rsidR="003710C7" w:rsidRDefault="00FB75EA" w:rsidP="00452487">
      <w:pPr>
        <w:spacing w:line="480" w:lineRule="auto"/>
        <w:jc w:val="both"/>
        <w:rPr>
          <w:sz w:val="22"/>
          <w:szCs w:val="22"/>
        </w:rPr>
      </w:pPr>
      <w:r>
        <w:rPr>
          <w:sz w:val="22"/>
          <w:szCs w:val="22"/>
        </w:rPr>
        <w:t xml:space="preserve">Figure S5. </w:t>
      </w:r>
      <w:r w:rsidR="00452487" w:rsidRPr="0050567D">
        <w:rPr>
          <w:sz w:val="22"/>
          <w:szCs w:val="22"/>
        </w:rPr>
        <w:t>Western blots show the existence of</w:t>
      </w:r>
      <w:r w:rsidR="00452487">
        <w:rPr>
          <w:sz w:val="22"/>
          <w:szCs w:val="22"/>
        </w:rPr>
        <w:t xml:space="preserve"> </w:t>
      </w:r>
      <w:r w:rsidR="0098756A">
        <w:rPr>
          <w:sz w:val="22"/>
          <w:szCs w:val="22"/>
        </w:rPr>
        <w:t>main</w:t>
      </w:r>
      <w:r w:rsidR="00452487">
        <w:rPr>
          <w:sz w:val="22"/>
          <w:szCs w:val="22"/>
        </w:rPr>
        <w:t xml:space="preserve"> members of </w:t>
      </w:r>
      <w:proofErr w:type="spellStart"/>
      <w:r w:rsidR="0098756A">
        <w:rPr>
          <w:sz w:val="22"/>
          <w:szCs w:val="22"/>
        </w:rPr>
        <w:t>condensin</w:t>
      </w:r>
      <w:proofErr w:type="spellEnd"/>
      <w:r w:rsidR="0098756A">
        <w:rPr>
          <w:sz w:val="22"/>
          <w:szCs w:val="22"/>
        </w:rPr>
        <w:t xml:space="preserve"> </w:t>
      </w:r>
      <w:proofErr w:type="gramStart"/>
      <w:r w:rsidR="0098756A">
        <w:rPr>
          <w:sz w:val="22"/>
          <w:szCs w:val="22"/>
        </w:rPr>
        <w:t>I</w:t>
      </w:r>
      <w:proofErr w:type="gramEnd"/>
      <w:r w:rsidR="0098756A">
        <w:rPr>
          <w:sz w:val="22"/>
          <w:szCs w:val="22"/>
        </w:rPr>
        <w:t xml:space="preserve"> and II</w:t>
      </w:r>
      <w:r w:rsidR="00452487">
        <w:rPr>
          <w:sz w:val="22"/>
          <w:szCs w:val="22"/>
        </w:rPr>
        <w:t xml:space="preserve"> complex</w:t>
      </w:r>
      <w:r w:rsidR="0098756A">
        <w:rPr>
          <w:sz w:val="22"/>
          <w:szCs w:val="22"/>
        </w:rPr>
        <w:t>es</w:t>
      </w:r>
      <w:r w:rsidR="00452487">
        <w:rPr>
          <w:sz w:val="22"/>
          <w:szCs w:val="22"/>
        </w:rPr>
        <w:t xml:space="preserve"> </w:t>
      </w:r>
      <w:r w:rsidR="00452487" w:rsidRPr="0050567D">
        <w:rPr>
          <w:sz w:val="22"/>
          <w:szCs w:val="22"/>
        </w:rPr>
        <w:t xml:space="preserve">on the cell lysates of fibroblast cell lines used in this study. (A) </w:t>
      </w:r>
      <w:r w:rsidR="00452487" w:rsidRPr="0050567D">
        <w:rPr>
          <w:i/>
          <w:sz w:val="22"/>
          <w:szCs w:val="22"/>
        </w:rPr>
        <w:t>SMC2,</w:t>
      </w:r>
      <w:r w:rsidR="00452487" w:rsidRPr="0050567D">
        <w:rPr>
          <w:sz w:val="22"/>
          <w:szCs w:val="22"/>
        </w:rPr>
        <w:t xml:space="preserve"> (B) </w:t>
      </w:r>
      <w:r w:rsidR="00452487" w:rsidRPr="0050567D">
        <w:rPr>
          <w:i/>
          <w:sz w:val="22"/>
          <w:szCs w:val="22"/>
        </w:rPr>
        <w:t xml:space="preserve">SMC4 </w:t>
      </w:r>
      <w:r w:rsidR="00452487" w:rsidRPr="0050567D">
        <w:rPr>
          <w:sz w:val="22"/>
          <w:szCs w:val="22"/>
        </w:rPr>
        <w:t xml:space="preserve">genes were </w:t>
      </w:r>
      <w:r w:rsidR="00636EEF">
        <w:rPr>
          <w:sz w:val="22"/>
          <w:szCs w:val="22"/>
        </w:rPr>
        <w:t xml:space="preserve">transcribed </w:t>
      </w:r>
      <w:r w:rsidR="00452487">
        <w:rPr>
          <w:sz w:val="22"/>
          <w:szCs w:val="22"/>
        </w:rPr>
        <w:t>and translated on all of the cell lysates. Hi</w:t>
      </w:r>
      <w:r w:rsidR="00452487" w:rsidRPr="0050567D">
        <w:rPr>
          <w:sz w:val="22"/>
          <w:szCs w:val="22"/>
        </w:rPr>
        <w:t xml:space="preserve">gher expression levels of </w:t>
      </w:r>
      <w:r w:rsidR="00452487" w:rsidRPr="00D940BA">
        <w:rPr>
          <w:i/>
          <w:sz w:val="22"/>
          <w:szCs w:val="22"/>
        </w:rPr>
        <w:t>SMC2</w:t>
      </w:r>
      <w:r w:rsidR="00452487" w:rsidRPr="0050567D">
        <w:rPr>
          <w:sz w:val="22"/>
          <w:szCs w:val="22"/>
        </w:rPr>
        <w:t xml:space="preserve"> and </w:t>
      </w:r>
      <w:r w:rsidR="00452487" w:rsidRPr="00D940BA">
        <w:rPr>
          <w:i/>
          <w:sz w:val="22"/>
          <w:szCs w:val="22"/>
        </w:rPr>
        <w:t>SMC4</w:t>
      </w:r>
      <w:r w:rsidR="00452487">
        <w:rPr>
          <w:sz w:val="22"/>
          <w:szCs w:val="22"/>
        </w:rPr>
        <w:t xml:space="preserve"> genes</w:t>
      </w:r>
      <w:r w:rsidR="00452487" w:rsidRPr="0050567D">
        <w:rPr>
          <w:sz w:val="22"/>
          <w:szCs w:val="22"/>
        </w:rPr>
        <w:t xml:space="preserve"> in the BS cell lines (BS1, BS2, and BS3) can be observed </w:t>
      </w:r>
      <w:r w:rsidR="00452487">
        <w:rPr>
          <w:sz w:val="22"/>
          <w:szCs w:val="22"/>
        </w:rPr>
        <w:t xml:space="preserve">in protein level </w:t>
      </w:r>
      <w:r w:rsidR="00452487" w:rsidRPr="0050567D">
        <w:rPr>
          <w:sz w:val="22"/>
          <w:szCs w:val="22"/>
        </w:rPr>
        <w:t xml:space="preserve">in comparison to control cell lines (WT1 and WT2). The experiments </w:t>
      </w:r>
      <w:proofErr w:type="gramStart"/>
      <w:r w:rsidR="00452487" w:rsidRPr="0050567D">
        <w:rPr>
          <w:sz w:val="22"/>
          <w:szCs w:val="22"/>
        </w:rPr>
        <w:t>were done</w:t>
      </w:r>
      <w:proofErr w:type="gramEnd"/>
      <w:r w:rsidR="00452487" w:rsidRPr="0050567D">
        <w:rPr>
          <w:sz w:val="22"/>
          <w:szCs w:val="22"/>
        </w:rPr>
        <w:t xml:space="preserve"> in triplicates</w:t>
      </w:r>
      <w:r w:rsidR="0098756A">
        <w:rPr>
          <w:sz w:val="22"/>
          <w:szCs w:val="22"/>
        </w:rPr>
        <w:t xml:space="preserve"> and </w:t>
      </w:r>
      <w:r w:rsidR="003B0476">
        <w:rPr>
          <w:sz w:val="22"/>
          <w:szCs w:val="22"/>
        </w:rPr>
        <w:t>beta-</w:t>
      </w:r>
      <w:r w:rsidR="0098756A">
        <w:rPr>
          <w:sz w:val="22"/>
          <w:szCs w:val="22"/>
        </w:rPr>
        <w:t>Actin was used as a control.</w:t>
      </w:r>
    </w:p>
    <w:p w14:paraId="12344BA3" w14:textId="77777777" w:rsidR="00535B0B" w:rsidRDefault="00535B0B" w:rsidP="00452487">
      <w:pPr>
        <w:spacing w:line="480" w:lineRule="auto"/>
      </w:pPr>
    </w:p>
    <w:p w14:paraId="7B466FDF" w14:textId="77777777" w:rsidR="00732D0F" w:rsidRPr="00D940BA" w:rsidRDefault="00535B0B" w:rsidP="00452487">
      <w:pPr>
        <w:spacing w:line="480" w:lineRule="auto"/>
        <w:rPr>
          <w:b/>
        </w:rPr>
      </w:pPr>
      <w:r w:rsidRPr="00D940BA">
        <w:rPr>
          <w:b/>
        </w:rPr>
        <w:t>References</w:t>
      </w:r>
    </w:p>
    <w:p w14:paraId="583EBF09" w14:textId="77777777" w:rsidR="00535B0B" w:rsidRDefault="00535B0B" w:rsidP="00452487">
      <w:pPr>
        <w:spacing w:line="480" w:lineRule="auto"/>
      </w:pPr>
    </w:p>
    <w:p w14:paraId="23EBFA73" w14:textId="12A9AE86" w:rsidR="00D3730E" w:rsidRPr="008C5C9F" w:rsidRDefault="00535B0B" w:rsidP="00D3730E">
      <w:pPr>
        <w:widowControl w:val="0"/>
        <w:autoSpaceDE w:val="0"/>
        <w:autoSpaceDN w:val="0"/>
        <w:adjustRightInd w:val="0"/>
        <w:spacing w:line="480" w:lineRule="auto"/>
        <w:ind w:left="640" w:hanging="640"/>
        <w:rPr>
          <w:noProof/>
          <w:lang w:val="de-DE"/>
        </w:rPr>
      </w:pPr>
      <w:r>
        <w:fldChar w:fldCharType="begin" w:fldLock="1"/>
      </w:r>
      <w:r>
        <w:instrText xml:space="preserve">ADDIN Mendeley Bibliography CSL_BIBLIOGRAPHY </w:instrText>
      </w:r>
      <w:r>
        <w:fldChar w:fldCharType="separate"/>
      </w:r>
      <w:r w:rsidR="00D3730E" w:rsidRPr="00D3730E">
        <w:rPr>
          <w:noProof/>
        </w:rPr>
        <w:t>1.</w:t>
      </w:r>
      <w:r w:rsidR="00D3730E" w:rsidRPr="00D3730E">
        <w:rPr>
          <w:noProof/>
        </w:rPr>
        <w:tab/>
        <w:t>Hussmann, J.A., Ling, J., Ravisankar, P., Yan, J., Cirincione, A., Xu, A., Simpson, D., Yang, D., Bothmer, A., Co</w:t>
      </w:r>
      <w:bookmarkStart w:id="0" w:name="_GoBack"/>
      <w:bookmarkEnd w:id="0"/>
      <w:r w:rsidR="00D3730E" w:rsidRPr="00D3730E">
        <w:rPr>
          <w:noProof/>
        </w:rPr>
        <w:t xml:space="preserve">tta-Ramusino, C., </w:t>
      </w:r>
      <w:r w:rsidR="00D3730E" w:rsidRPr="00D3730E">
        <w:rPr>
          <w:i/>
          <w:iCs/>
          <w:noProof/>
        </w:rPr>
        <w:t>et al.</w:t>
      </w:r>
      <w:r w:rsidR="00D3730E" w:rsidRPr="00D3730E">
        <w:rPr>
          <w:noProof/>
        </w:rPr>
        <w:t xml:space="preserve"> (2021) Mapping the genetic landscape of DNA double-strand break repair. </w:t>
      </w:r>
      <w:r w:rsidR="00D3730E" w:rsidRPr="008C5C9F">
        <w:rPr>
          <w:i/>
          <w:iCs/>
          <w:noProof/>
          <w:lang w:val="de-DE"/>
        </w:rPr>
        <w:t>Cell</w:t>
      </w:r>
      <w:r w:rsidR="00D3730E" w:rsidRPr="008C5C9F">
        <w:rPr>
          <w:noProof/>
          <w:lang w:val="de-DE"/>
        </w:rPr>
        <w:t xml:space="preserve">, </w:t>
      </w:r>
      <w:r w:rsidR="00D3730E" w:rsidRPr="008C5C9F">
        <w:rPr>
          <w:b/>
          <w:bCs/>
          <w:noProof/>
          <w:lang w:val="de-DE"/>
        </w:rPr>
        <w:t>184</w:t>
      </w:r>
      <w:r w:rsidR="00D3730E" w:rsidRPr="008C5C9F">
        <w:rPr>
          <w:noProof/>
          <w:lang w:val="de-DE"/>
        </w:rPr>
        <w:t>, 5653-5669.e25.</w:t>
      </w:r>
    </w:p>
    <w:p w14:paraId="2EF3E479" w14:textId="77777777" w:rsidR="00D3730E" w:rsidRPr="00D3730E" w:rsidRDefault="00D3730E" w:rsidP="00D3730E">
      <w:pPr>
        <w:widowControl w:val="0"/>
        <w:autoSpaceDE w:val="0"/>
        <w:autoSpaceDN w:val="0"/>
        <w:adjustRightInd w:val="0"/>
        <w:spacing w:line="480" w:lineRule="auto"/>
        <w:ind w:left="640" w:hanging="640"/>
        <w:rPr>
          <w:noProof/>
        </w:rPr>
      </w:pPr>
      <w:r w:rsidRPr="008C5C9F">
        <w:rPr>
          <w:noProof/>
          <w:lang w:val="de-DE"/>
        </w:rPr>
        <w:t>2.</w:t>
      </w:r>
      <w:r w:rsidRPr="008C5C9F">
        <w:rPr>
          <w:noProof/>
          <w:lang w:val="de-DE"/>
        </w:rPr>
        <w:tab/>
        <w:t xml:space="preserve">Hao, Y., Hao, S., Andersen-Nissen, E., Mauck, W.M., Zheng, S., Butler, A., Lee, M.J., Wilk, A.J., Darby, C., Zager, M., </w:t>
      </w:r>
      <w:r w:rsidRPr="008C5C9F">
        <w:rPr>
          <w:i/>
          <w:iCs/>
          <w:noProof/>
          <w:lang w:val="de-DE"/>
        </w:rPr>
        <w:t>et al.</w:t>
      </w:r>
      <w:r w:rsidRPr="008C5C9F">
        <w:rPr>
          <w:noProof/>
          <w:lang w:val="de-DE"/>
        </w:rPr>
        <w:t xml:space="preserve"> </w:t>
      </w:r>
      <w:r w:rsidRPr="00D3730E">
        <w:rPr>
          <w:noProof/>
        </w:rPr>
        <w:t xml:space="preserve">(2021) Integrated analysis of multimodal single-cell data. </w:t>
      </w:r>
      <w:r w:rsidRPr="00D3730E">
        <w:rPr>
          <w:i/>
          <w:iCs/>
          <w:noProof/>
        </w:rPr>
        <w:t>Cell</w:t>
      </w:r>
      <w:r w:rsidRPr="00D3730E">
        <w:rPr>
          <w:noProof/>
        </w:rPr>
        <w:t xml:space="preserve">, </w:t>
      </w:r>
      <w:r w:rsidRPr="00D3730E">
        <w:rPr>
          <w:b/>
          <w:bCs/>
          <w:noProof/>
        </w:rPr>
        <w:t>184</w:t>
      </w:r>
      <w:r w:rsidRPr="00D3730E">
        <w:rPr>
          <w:noProof/>
        </w:rPr>
        <w:t>, 3573-3587.e29.</w:t>
      </w:r>
    </w:p>
    <w:p w14:paraId="5D90AF80" w14:textId="77777777" w:rsidR="00D3730E" w:rsidRPr="00D3730E" w:rsidRDefault="00D3730E" w:rsidP="00D3730E">
      <w:pPr>
        <w:widowControl w:val="0"/>
        <w:autoSpaceDE w:val="0"/>
        <w:autoSpaceDN w:val="0"/>
        <w:adjustRightInd w:val="0"/>
        <w:spacing w:line="480" w:lineRule="auto"/>
        <w:ind w:left="640" w:hanging="640"/>
        <w:rPr>
          <w:noProof/>
        </w:rPr>
      </w:pPr>
      <w:r w:rsidRPr="00D3730E">
        <w:rPr>
          <w:noProof/>
        </w:rPr>
        <w:t>3.</w:t>
      </w:r>
      <w:r w:rsidRPr="00D3730E">
        <w:rPr>
          <w:noProof/>
        </w:rPr>
        <w:tab/>
        <w:t xml:space="preserve">Wickham, H., Navarro, D. and Pedersen, T.L. (2016) ggplot2, Elegant Graphics for Data Analysis. </w:t>
      </w:r>
      <w:r w:rsidRPr="00D3730E">
        <w:rPr>
          <w:i/>
          <w:iCs/>
          <w:noProof/>
        </w:rPr>
        <w:t>ggplot2, Elegant Graphics for Data Analysis</w:t>
      </w:r>
      <w:r w:rsidRPr="00D3730E">
        <w:rPr>
          <w:noProof/>
        </w:rPr>
        <w:t xml:space="preserve">; 3rd ed.; Springer, New </w:t>
      </w:r>
      <w:r w:rsidRPr="00D3730E">
        <w:rPr>
          <w:noProof/>
        </w:rPr>
        <w:lastRenderedPageBreak/>
        <w:t>York, NY, New York, NY, (2016) .</w:t>
      </w:r>
    </w:p>
    <w:p w14:paraId="2C9BCD99" w14:textId="77777777" w:rsidR="00535B0B" w:rsidRDefault="00535B0B" w:rsidP="00452487">
      <w:pPr>
        <w:spacing w:line="480" w:lineRule="auto"/>
      </w:pPr>
      <w:r>
        <w:fldChar w:fldCharType="end"/>
      </w:r>
    </w:p>
    <w:sectPr w:rsidR="00535B0B" w:rsidSect="00B40832">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14616" w14:textId="77777777" w:rsidR="00B40832" w:rsidRDefault="00B40832" w:rsidP="00B40832">
      <w:r>
        <w:separator/>
      </w:r>
    </w:p>
  </w:endnote>
  <w:endnote w:type="continuationSeparator" w:id="0">
    <w:p w14:paraId="5B09829C" w14:textId="77777777" w:rsidR="00B40832" w:rsidRDefault="00B40832" w:rsidP="00B40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riweather">
    <w:charset w:val="4D"/>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416745"/>
      <w:docPartObj>
        <w:docPartGallery w:val="Page Numbers (Bottom of Page)"/>
        <w:docPartUnique/>
      </w:docPartObj>
    </w:sdtPr>
    <w:sdtContent>
      <w:p w14:paraId="1CC7AAA5" w14:textId="16A866EF" w:rsidR="00B40832" w:rsidRDefault="00B40832">
        <w:pPr>
          <w:pStyle w:val="Fuzeile"/>
          <w:jc w:val="right"/>
        </w:pPr>
        <w:r>
          <w:fldChar w:fldCharType="begin"/>
        </w:r>
        <w:r>
          <w:instrText>PAGE   \* MERGEFORMAT</w:instrText>
        </w:r>
        <w:r>
          <w:fldChar w:fldCharType="separate"/>
        </w:r>
        <w:r w:rsidR="00446DAA" w:rsidRPr="00446DAA">
          <w:rPr>
            <w:noProof/>
            <w:lang w:val="de-DE"/>
          </w:rPr>
          <w:t>3</w:t>
        </w:r>
        <w:r>
          <w:fldChar w:fldCharType="end"/>
        </w:r>
      </w:p>
    </w:sdtContent>
  </w:sdt>
  <w:p w14:paraId="431B32E7" w14:textId="77777777" w:rsidR="00B40832" w:rsidRDefault="00B4083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98041" w14:textId="77777777" w:rsidR="00B40832" w:rsidRDefault="00B40832" w:rsidP="00B40832">
      <w:r>
        <w:separator/>
      </w:r>
    </w:p>
  </w:footnote>
  <w:footnote w:type="continuationSeparator" w:id="0">
    <w:p w14:paraId="2C062F7A" w14:textId="77777777" w:rsidR="00B40832" w:rsidRDefault="00B40832" w:rsidP="00B40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B2D"/>
    <w:rsid w:val="00085211"/>
    <w:rsid w:val="00136AFB"/>
    <w:rsid w:val="00137329"/>
    <w:rsid w:val="00141BEB"/>
    <w:rsid w:val="00171DD9"/>
    <w:rsid w:val="0017558A"/>
    <w:rsid w:val="001C504F"/>
    <w:rsid w:val="002528E8"/>
    <w:rsid w:val="0030685B"/>
    <w:rsid w:val="003710C7"/>
    <w:rsid w:val="00375D51"/>
    <w:rsid w:val="00391B2D"/>
    <w:rsid w:val="003B0476"/>
    <w:rsid w:val="003B3AA0"/>
    <w:rsid w:val="00406E12"/>
    <w:rsid w:val="00446DAA"/>
    <w:rsid w:val="00452487"/>
    <w:rsid w:val="004D26D2"/>
    <w:rsid w:val="00510E50"/>
    <w:rsid w:val="00535B0B"/>
    <w:rsid w:val="00553098"/>
    <w:rsid w:val="005822D6"/>
    <w:rsid w:val="005F2691"/>
    <w:rsid w:val="00627EB1"/>
    <w:rsid w:val="00636EEF"/>
    <w:rsid w:val="006B3CF3"/>
    <w:rsid w:val="006C4518"/>
    <w:rsid w:val="00732D0F"/>
    <w:rsid w:val="007A034E"/>
    <w:rsid w:val="007F6980"/>
    <w:rsid w:val="008050F1"/>
    <w:rsid w:val="008B2CB3"/>
    <w:rsid w:val="008B74DA"/>
    <w:rsid w:val="008C5C9F"/>
    <w:rsid w:val="00952C8A"/>
    <w:rsid w:val="0098756A"/>
    <w:rsid w:val="00B27B85"/>
    <w:rsid w:val="00B40832"/>
    <w:rsid w:val="00B872C5"/>
    <w:rsid w:val="00CB18A5"/>
    <w:rsid w:val="00CF5F73"/>
    <w:rsid w:val="00D13466"/>
    <w:rsid w:val="00D17BED"/>
    <w:rsid w:val="00D3730E"/>
    <w:rsid w:val="00D940BA"/>
    <w:rsid w:val="00DA52A4"/>
    <w:rsid w:val="00E753F1"/>
    <w:rsid w:val="00E92A75"/>
    <w:rsid w:val="00EA094E"/>
    <w:rsid w:val="00FB75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14571"/>
  <w15:chartTrackingRefBased/>
  <w15:docId w15:val="{98181D7F-8CCC-4A5B-A6C9-04D7F171D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91B2D"/>
    <w:pPr>
      <w:spacing w:after="0" w:line="240" w:lineRule="auto"/>
    </w:pPr>
    <w:rPr>
      <w:rFonts w:ascii="Times New Roman" w:eastAsia="Times New Roman" w:hAnsi="Times New Roman" w:cs="Times New Roman"/>
      <w:sz w:val="24"/>
      <w:szCs w:val="24"/>
      <w:lang w:val="en-US"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710C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710C7"/>
    <w:rPr>
      <w:rFonts w:ascii="Segoe UI" w:eastAsia="Times New Roman" w:hAnsi="Segoe UI" w:cs="Segoe UI"/>
      <w:sz w:val="18"/>
      <w:szCs w:val="18"/>
      <w:lang w:val="en-US" w:eastAsia="en-GB"/>
    </w:rPr>
  </w:style>
  <w:style w:type="character" w:styleId="Kommentarzeichen">
    <w:name w:val="annotation reference"/>
    <w:basedOn w:val="Absatz-Standardschriftart"/>
    <w:uiPriority w:val="99"/>
    <w:semiHidden/>
    <w:unhideWhenUsed/>
    <w:rsid w:val="00510E50"/>
    <w:rPr>
      <w:sz w:val="16"/>
      <w:szCs w:val="16"/>
    </w:rPr>
  </w:style>
  <w:style w:type="paragraph" w:styleId="Kommentartext">
    <w:name w:val="annotation text"/>
    <w:basedOn w:val="Standard"/>
    <w:link w:val="KommentartextZchn"/>
    <w:uiPriority w:val="99"/>
    <w:semiHidden/>
    <w:unhideWhenUsed/>
    <w:rsid w:val="00510E50"/>
    <w:rPr>
      <w:sz w:val="20"/>
      <w:szCs w:val="20"/>
    </w:rPr>
  </w:style>
  <w:style w:type="character" w:customStyle="1" w:styleId="KommentartextZchn">
    <w:name w:val="Kommentartext Zchn"/>
    <w:basedOn w:val="Absatz-Standardschriftart"/>
    <w:link w:val="Kommentartext"/>
    <w:uiPriority w:val="99"/>
    <w:semiHidden/>
    <w:rsid w:val="00510E50"/>
    <w:rPr>
      <w:rFonts w:ascii="Times New Roman" w:eastAsia="Times New Roman" w:hAnsi="Times New Roman" w:cs="Times New Roman"/>
      <w:sz w:val="20"/>
      <w:szCs w:val="20"/>
      <w:lang w:val="en-US" w:eastAsia="en-GB"/>
    </w:rPr>
  </w:style>
  <w:style w:type="paragraph" w:styleId="Kommentarthema">
    <w:name w:val="annotation subject"/>
    <w:basedOn w:val="Kommentartext"/>
    <w:next w:val="Kommentartext"/>
    <w:link w:val="KommentarthemaZchn"/>
    <w:uiPriority w:val="99"/>
    <w:semiHidden/>
    <w:unhideWhenUsed/>
    <w:rsid w:val="00510E50"/>
    <w:rPr>
      <w:b/>
      <w:bCs/>
    </w:rPr>
  </w:style>
  <w:style w:type="character" w:customStyle="1" w:styleId="KommentarthemaZchn">
    <w:name w:val="Kommentarthema Zchn"/>
    <w:basedOn w:val="KommentartextZchn"/>
    <w:link w:val="Kommentarthema"/>
    <w:uiPriority w:val="99"/>
    <w:semiHidden/>
    <w:rsid w:val="00510E50"/>
    <w:rPr>
      <w:rFonts w:ascii="Times New Roman" w:eastAsia="Times New Roman" w:hAnsi="Times New Roman" w:cs="Times New Roman"/>
      <w:b/>
      <w:bCs/>
      <w:sz w:val="20"/>
      <w:szCs w:val="20"/>
      <w:lang w:val="en-US" w:eastAsia="en-GB"/>
    </w:rPr>
  </w:style>
  <w:style w:type="paragraph" w:styleId="Kopfzeile">
    <w:name w:val="header"/>
    <w:basedOn w:val="Standard"/>
    <w:link w:val="KopfzeileZchn"/>
    <w:uiPriority w:val="99"/>
    <w:unhideWhenUsed/>
    <w:rsid w:val="00B40832"/>
    <w:pPr>
      <w:tabs>
        <w:tab w:val="center" w:pos="4536"/>
        <w:tab w:val="right" w:pos="9072"/>
      </w:tabs>
    </w:pPr>
  </w:style>
  <w:style w:type="character" w:customStyle="1" w:styleId="KopfzeileZchn">
    <w:name w:val="Kopfzeile Zchn"/>
    <w:basedOn w:val="Absatz-Standardschriftart"/>
    <w:link w:val="Kopfzeile"/>
    <w:uiPriority w:val="99"/>
    <w:rsid w:val="00B40832"/>
    <w:rPr>
      <w:rFonts w:ascii="Times New Roman" w:eastAsia="Times New Roman" w:hAnsi="Times New Roman" w:cs="Times New Roman"/>
      <w:sz w:val="24"/>
      <w:szCs w:val="24"/>
      <w:lang w:val="en-US" w:eastAsia="en-GB"/>
    </w:rPr>
  </w:style>
  <w:style w:type="paragraph" w:styleId="Fuzeile">
    <w:name w:val="footer"/>
    <w:basedOn w:val="Standard"/>
    <w:link w:val="FuzeileZchn"/>
    <w:uiPriority w:val="99"/>
    <w:unhideWhenUsed/>
    <w:rsid w:val="00B40832"/>
    <w:pPr>
      <w:tabs>
        <w:tab w:val="center" w:pos="4536"/>
        <w:tab w:val="right" w:pos="9072"/>
      </w:tabs>
    </w:pPr>
  </w:style>
  <w:style w:type="character" w:customStyle="1" w:styleId="FuzeileZchn">
    <w:name w:val="Fußzeile Zchn"/>
    <w:basedOn w:val="Absatz-Standardschriftart"/>
    <w:link w:val="Fuzeile"/>
    <w:uiPriority w:val="99"/>
    <w:rsid w:val="00B40832"/>
    <w:rPr>
      <w:rFonts w:ascii="Times New Roman" w:eastAsia="Times New Roman" w:hAnsi="Times New Roman" w:cs="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54AAA-E89C-490D-A68C-F1E5425E8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1817</Words>
  <Characters>11454</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Universitätsmedizin Göttingen</Company>
  <LinksUpToDate>false</LinksUpToDate>
  <CharactersWithSpaces>13245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Gönenc, Ipek Ilgin</dc:creator>
  <cp:keywords/>
  <dc:description/>
  <cp:lastModifiedBy>Gönenc, Ipek Ilgin</cp:lastModifiedBy>
  <cp:revision>3</cp:revision>
  <dcterms:created xsi:type="dcterms:W3CDTF">2021-12-02T08:17:00Z</dcterms:created>
  <dcterms:modified xsi:type="dcterms:W3CDTF">2021-12-02T08:28:00Z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http://csl.mendeley.com/styles/455325661/human-molecular-genetics</vt:lpwstr>
  </property>
  <property fmtid="{D5CDD505-2E9C-101B-9397-08002B2CF9AE}" pid="13" name="Mendeley Recent Style Name 5_1">
    <vt:lpwstr>Human Molecular Genetics - ilgin gon</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95dc0d4b-6f0c-3123-ab63-eb7327368ec6</vt:lpwstr>
  </property>
  <property fmtid="{D5CDD505-2E9C-101B-9397-08002B2CF9AE}" pid="24" name="Mendeley Citation Style_1">
    <vt:lpwstr>http://csl.mendeley.com/styles/455325661/human-molecular-genetics</vt:lpwstr>
  </property>
</Properties>
</file>