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F2" w:rsidRPr="00564BCB" w:rsidRDefault="006472F2" w:rsidP="00215EF2">
      <w:pPr>
        <w:tabs>
          <w:tab w:val="right" w:pos="540"/>
          <w:tab w:val="left" w:pos="720"/>
        </w:tabs>
        <w:spacing w:line="480" w:lineRule="auto"/>
        <w:ind w:left="720" w:hanging="720"/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t xml:space="preserve">Suppl. </w:t>
      </w:r>
      <w:r w:rsidR="00215EF2" w:rsidRPr="00564BCB">
        <w:rPr>
          <w:rFonts w:ascii="Arial" w:hAnsi="Arial" w:cs="Arial"/>
          <w:b/>
          <w:lang w:val="en-GB"/>
        </w:rPr>
        <w:t xml:space="preserve">Table </w:t>
      </w:r>
      <w:r>
        <w:rPr>
          <w:rFonts w:ascii="Arial" w:hAnsi="Arial" w:cs="Arial"/>
          <w:b/>
          <w:lang w:val="en-GB"/>
        </w:rPr>
        <w:t>1</w:t>
      </w:r>
      <w:r w:rsidR="00564BCB">
        <w:rPr>
          <w:rFonts w:ascii="Arial" w:hAnsi="Arial" w:cs="Arial"/>
          <w:b/>
          <w:lang w:val="en-GB"/>
        </w:rPr>
        <w:t>:</w:t>
      </w:r>
      <w:r w:rsidR="00215EF2" w:rsidRPr="00564BCB">
        <w:rPr>
          <w:rFonts w:ascii="Arial" w:hAnsi="Arial" w:cs="Arial"/>
          <w:b/>
          <w:lang w:val="en-GB"/>
        </w:rPr>
        <w:t xml:space="preserve"> Baseline echocardiographic characteristics</w:t>
      </w:r>
    </w:p>
    <w:tbl>
      <w:tblPr>
        <w:tblW w:w="13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142"/>
        <w:gridCol w:w="1500"/>
        <w:gridCol w:w="1772"/>
        <w:gridCol w:w="1772"/>
        <w:gridCol w:w="1772"/>
        <w:gridCol w:w="1773"/>
        <w:gridCol w:w="1417"/>
      </w:tblGrid>
      <w:tr w:rsidR="00215EF2" w:rsidRPr="00B16B20" w:rsidTr="005870D3">
        <w:trPr>
          <w:trHeight w:val="716"/>
          <w:jc w:val="center"/>
        </w:trPr>
        <w:tc>
          <w:tcPr>
            <w:tcW w:w="30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EF2" w:rsidRPr="001F03CC" w:rsidRDefault="00215EF2" w:rsidP="00170424">
            <w:pPr>
              <w:spacing w:line="360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5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EF2" w:rsidRPr="00C270EA" w:rsidRDefault="00F81368" w:rsidP="00F81368">
            <w:pPr>
              <w:spacing w:line="360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Total cohort (n=100</w:t>
            </w:r>
            <w:r w:rsidR="00215EF2" w:rsidRPr="00C270EA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NEF-HG AS</w:t>
            </w:r>
          </w:p>
          <w:p w:rsidR="00215EF2" w:rsidRPr="00C270EA" w:rsidRDefault="00215EF2" w:rsidP="00F81368">
            <w:pPr>
              <w:spacing w:line="360" w:lineRule="auto"/>
              <w:jc w:val="center"/>
              <w:rPr>
                <w:b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(n=</w:t>
            </w:r>
            <w:r w:rsidR="00F81368" w:rsidRPr="00C270EA">
              <w:rPr>
                <w:b/>
                <w:sz w:val="22"/>
                <w:szCs w:val="22"/>
                <w:lang w:val="en-GB"/>
              </w:rPr>
              <w:t>40</w:t>
            </w:r>
            <w:r w:rsidRPr="00C270EA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15EF2" w:rsidRPr="00C270EA" w:rsidRDefault="00F81368" w:rsidP="00F81368">
            <w:pPr>
              <w:spacing w:line="360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 xml:space="preserve">LEF-HG AS </w:t>
            </w:r>
            <w:r w:rsidR="00215EF2" w:rsidRPr="00C270EA">
              <w:rPr>
                <w:b/>
                <w:sz w:val="22"/>
                <w:szCs w:val="22"/>
                <w:lang w:val="en-GB"/>
              </w:rPr>
              <w:t>(n=</w:t>
            </w:r>
            <w:r w:rsidRPr="00C270EA">
              <w:rPr>
                <w:b/>
                <w:sz w:val="22"/>
                <w:szCs w:val="22"/>
                <w:lang w:val="en-GB"/>
              </w:rPr>
              <w:t>14</w:t>
            </w:r>
            <w:r w:rsidR="00215EF2" w:rsidRPr="00C270EA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15EF2" w:rsidRPr="00C270EA" w:rsidRDefault="00215EF2" w:rsidP="00F81368">
            <w:pPr>
              <w:spacing w:line="360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LEF-</w:t>
            </w:r>
            <w:r w:rsidR="00F81368" w:rsidRPr="00C270EA">
              <w:rPr>
                <w:b/>
                <w:sz w:val="22"/>
                <w:szCs w:val="22"/>
                <w:lang w:val="en-GB"/>
              </w:rPr>
              <w:t>L</w:t>
            </w:r>
            <w:r w:rsidRPr="00C270EA">
              <w:rPr>
                <w:b/>
                <w:sz w:val="22"/>
                <w:szCs w:val="22"/>
                <w:lang w:val="en-GB"/>
              </w:rPr>
              <w:t>G AS (n=</w:t>
            </w:r>
            <w:r w:rsidR="00F81368" w:rsidRPr="00C270EA">
              <w:rPr>
                <w:b/>
                <w:sz w:val="22"/>
                <w:szCs w:val="22"/>
                <w:lang w:val="en-GB"/>
              </w:rPr>
              <w:t>26</w:t>
            </w:r>
            <w:r w:rsidRPr="00C270EA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7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EF2" w:rsidRPr="00C270EA" w:rsidRDefault="00F81368" w:rsidP="00F81368">
            <w:pPr>
              <w:spacing w:line="360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P</w:t>
            </w:r>
            <w:r w:rsidR="00215EF2" w:rsidRPr="00C270EA">
              <w:rPr>
                <w:b/>
                <w:sz w:val="22"/>
                <w:szCs w:val="22"/>
                <w:lang w:val="en-GB"/>
              </w:rPr>
              <w:t>LF-LG AS (n=</w:t>
            </w:r>
            <w:r w:rsidRPr="00C270EA">
              <w:rPr>
                <w:b/>
                <w:sz w:val="22"/>
                <w:szCs w:val="22"/>
                <w:lang w:val="en-GB"/>
              </w:rPr>
              <w:t>16</w:t>
            </w:r>
            <w:r w:rsidR="00215EF2" w:rsidRPr="00C270EA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b/>
                <w:lang w:val="en-GB"/>
              </w:rPr>
            </w:pPr>
            <w:r w:rsidRPr="00C270EA">
              <w:rPr>
                <w:b/>
                <w:sz w:val="22"/>
                <w:szCs w:val="22"/>
                <w:lang w:val="en-GB"/>
              </w:rPr>
              <w:t>P</w:t>
            </w:r>
            <w:r w:rsidRPr="00C270EA">
              <w:rPr>
                <w:b/>
                <w:lang w:val="en-GB"/>
              </w:rPr>
              <w:t xml:space="preserve"> </w:t>
            </w:r>
            <w:r w:rsidRPr="00C270EA">
              <w:rPr>
                <w:b/>
                <w:sz w:val="14"/>
                <w:szCs w:val="14"/>
                <w:lang w:val="en-GB"/>
              </w:rPr>
              <w:t>(comparison of all groups)</w:t>
            </w:r>
          </w:p>
        </w:tc>
      </w:tr>
      <w:tr w:rsidR="00215EF2" w:rsidRPr="00B16B20" w:rsidTr="00215EF2">
        <w:trPr>
          <w:jc w:val="center"/>
        </w:trPr>
        <w:tc>
          <w:tcPr>
            <w:tcW w:w="29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rPr>
                <w:b/>
                <w:sz w:val="4"/>
                <w:szCs w:val="4"/>
                <w:lang w:val="en-GB"/>
              </w:rPr>
            </w:pPr>
          </w:p>
        </w:tc>
        <w:tc>
          <w:tcPr>
            <w:tcW w:w="16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left w:val="nil"/>
              <w:bottom w:val="nil"/>
              <w:right w:val="nil"/>
            </w:tcBorders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5EF2" w:rsidRPr="00C270EA" w:rsidRDefault="00215EF2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</w:tr>
      <w:tr w:rsidR="00170424" w:rsidRPr="00C270EA" w:rsidTr="00215EF2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proofErr w:type="spellStart"/>
            <w:r w:rsidRPr="00C270EA">
              <w:rPr>
                <w:b/>
                <w:sz w:val="17"/>
                <w:szCs w:val="17"/>
                <w:lang w:val="en-GB"/>
              </w:rPr>
              <w:t>Afib</w:t>
            </w:r>
            <w:proofErr w:type="spellEnd"/>
            <w:r w:rsidRPr="00C270EA">
              <w:rPr>
                <w:b/>
                <w:sz w:val="17"/>
                <w:szCs w:val="17"/>
                <w:lang w:val="en-GB"/>
              </w:rPr>
              <w:t xml:space="preserve"> during echo, </w:t>
            </w:r>
            <w:r w:rsidRPr="00C270EA">
              <w:rPr>
                <w:i/>
                <w:sz w:val="17"/>
                <w:szCs w:val="17"/>
                <w:lang w:val="en-GB"/>
              </w:rPr>
              <w:t>n (%)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7 (18)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 (29)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 (15)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FD6330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9 (56)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a,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B16B20" w:rsidRDefault="00B16B20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  <w:lang w:val="en-GB"/>
              </w:rPr>
              <w:t>0.01</w:t>
            </w:r>
          </w:p>
        </w:tc>
      </w:tr>
      <w:tr w:rsidR="00170424" w:rsidRPr="00C270EA" w:rsidTr="00215EF2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LV-EF, </w:t>
            </w:r>
            <w:r w:rsidRPr="00C270EA">
              <w:rPr>
                <w:i/>
                <w:sz w:val="17"/>
                <w:szCs w:val="17"/>
                <w:lang w:val="en-GB"/>
              </w:rPr>
              <w:t>%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50±15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62±5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34±11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34±10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59±7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564BCB" w:rsidRPr="00C270EA" w:rsidTr="00021798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4BCB" w:rsidRPr="00C270EA" w:rsidRDefault="00564BCB" w:rsidP="00021798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Global long. strain, </w:t>
            </w:r>
            <w:r w:rsidRPr="00C270EA">
              <w:rPr>
                <w:i/>
                <w:sz w:val="17"/>
                <w:szCs w:val="17"/>
                <w:lang w:val="en-GB"/>
              </w:rPr>
              <w:t>%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BCB" w:rsidRPr="00C270EA" w:rsidRDefault="00564BCB" w:rsidP="00021798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-14,7±4.7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BCB" w:rsidRPr="00C270EA" w:rsidRDefault="00564BCB" w:rsidP="00021798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-18-3±2.6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373190" w:rsidRPr="00C270EA">
              <w:rPr>
                <w:sz w:val="17"/>
                <w:szCs w:val="17"/>
                <w:vertAlign w:val="superscript"/>
                <w:lang w:val="en-GB"/>
              </w:rPr>
              <w:t>b,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564BCB" w:rsidRPr="00C270EA" w:rsidRDefault="00564BCB" w:rsidP="00021798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-10-1±3.7</w:t>
            </w:r>
            <w:r w:rsidR="00373190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BCB" w:rsidRPr="00C270EA" w:rsidRDefault="00564BCB" w:rsidP="00021798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-10.6±3.4</w:t>
            </w:r>
            <w:r w:rsidR="00373190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4BCB" w:rsidRPr="00C270EA" w:rsidRDefault="00564BCB" w:rsidP="00021798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-16.1±2.0</w:t>
            </w:r>
            <w:r w:rsidR="00373190" w:rsidRPr="00C270EA">
              <w:rPr>
                <w:sz w:val="17"/>
                <w:szCs w:val="17"/>
                <w:vertAlign w:val="superscript"/>
                <w:lang w:val="en-GB"/>
              </w:rPr>
              <w:t xml:space="preserve"> a, 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4BCB" w:rsidRPr="00B16B20" w:rsidRDefault="00B16B20" w:rsidP="00021798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LVEDV, </w:t>
            </w:r>
            <w:r w:rsidRPr="00C270EA">
              <w:rPr>
                <w:i/>
                <w:sz w:val="17"/>
                <w:szCs w:val="17"/>
                <w:lang w:val="en-GB"/>
              </w:rPr>
              <w:t>ml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92±41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77±31</w:t>
            </w:r>
            <w:r w:rsidR="00D65AB6" w:rsidRPr="00C270EA">
              <w:rPr>
                <w:sz w:val="17"/>
                <w:szCs w:val="17"/>
                <w:lang w:val="en-GB"/>
              </w:rPr>
              <w:t xml:space="preserve"> </w:t>
            </w:r>
            <w:r w:rsidR="00D65AB6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128±43</w:t>
            </w:r>
            <w:r w:rsidR="00D65AB6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118±35</w:t>
            </w:r>
            <w:r w:rsidR="00D65AB6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67±32</w:t>
            </w:r>
            <w:r w:rsidR="00D65AB6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B16B20" w:rsidRDefault="00B16B20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33F53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F53" w:rsidRPr="00C270EA" w:rsidRDefault="00133F53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proofErr w:type="spellStart"/>
            <w:r w:rsidRPr="00C270EA">
              <w:rPr>
                <w:b/>
                <w:sz w:val="17"/>
                <w:szCs w:val="17"/>
                <w:lang w:val="en-GB"/>
              </w:rPr>
              <w:t>LVEDV</w:t>
            </w:r>
            <w:r w:rsidRPr="00C270EA">
              <w:rPr>
                <w:b/>
                <w:sz w:val="17"/>
                <w:szCs w:val="17"/>
                <w:vertAlign w:val="subscript"/>
                <w:lang w:val="en-GB"/>
              </w:rPr>
              <w:t>i</w:t>
            </w:r>
            <w:proofErr w:type="spellEnd"/>
            <w:r w:rsidRPr="00C270EA">
              <w:rPr>
                <w:b/>
                <w:sz w:val="17"/>
                <w:szCs w:val="17"/>
                <w:lang w:val="en-GB"/>
              </w:rPr>
              <w:t xml:space="preserve">, </w:t>
            </w:r>
            <w:r w:rsidRPr="00C270EA">
              <w:rPr>
                <w:i/>
                <w:sz w:val="17"/>
                <w:szCs w:val="17"/>
                <w:lang w:val="en-GB"/>
              </w:rPr>
              <w:t>ml/m² BSA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48±21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40±15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64±20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3F53" w:rsidRPr="00C270EA" w:rsidRDefault="006705B4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62±20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6705B4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34±14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Stroke Volume Index, </w:t>
            </w:r>
            <w:r w:rsidRPr="00C270EA">
              <w:rPr>
                <w:i/>
                <w:sz w:val="17"/>
                <w:szCs w:val="17"/>
                <w:lang w:val="en-GB"/>
              </w:rPr>
              <w:t>ml/m²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36±10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43±10</w:t>
            </w:r>
            <w:r w:rsidR="00D67963" w:rsidRPr="00C270EA">
              <w:rPr>
                <w:sz w:val="17"/>
                <w:szCs w:val="17"/>
                <w:vertAlign w:val="superscript"/>
                <w:lang w:val="en-GB"/>
              </w:rPr>
              <w:t xml:space="preserve"> a, 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34±8</w:t>
            </w:r>
            <w:r w:rsidR="00D67963" w:rsidRPr="00C270EA">
              <w:rPr>
                <w:sz w:val="17"/>
                <w:szCs w:val="17"/>
                <w:lang w:val="en-GB"/>
              </w:rPr>
              <w:t xml:space="preserve"> </w:t>
            </w:r>
            <w:r w:rsidR="00D67963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30±7</w:t>
            </w:r>
            <w:r w:rsidR="00D67963" w:rsidRPr="00C270EA">
              <w:rPr>
                <w:sz w:val="17"/>
                <w:szCs w:val="17"/>
                <w:vertAlign w:val="superscript"/>
                <w:lang w:val="en-GB"/>
              </w:rPr>
              <w:t xml:space="preserve"> 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29±4</w:t>
            </w:r>
            <w:r w:rsidR="00D67963" w:rsidRPr="00C270EA">
              <w:rPr>
                <w:sz w:val="17"/>
                <w:szCs w:val="17"/>
                <w:vertAlign w:val="superscript"/>
                <w:lang w:val="en-GB"/>
              </w:rPr>
              <w:t xml:space="preserve"> a,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  <w:lang w:val="en-US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LAVI, </w:t>
            </w:r>
            <w:r w:rsidRPr="00C270EA">
              <w:rPr>
                <w:i/>
                <w:sz w:val="17"/>
                <w:szCs w:val="17"/>
                <w:lang w:val="en-GB"/>
              </w:rPr>
              <w:t>ml/m² BSA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52±17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48±14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64±25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50±13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55±17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0.02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LVMI, </w:t>
            </w:r>
            <w:r w:rsidRPr="00C270EA">
              <w:rPr>
                <w:i/>
                <w:sz w:val="17"/>
                <w:szCs w:val="17"/>
                <w:lang w:val="en-GB"/>
              </w:rPr>
              <w:t>g/m² BSA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151±42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146±38</w:t>
            </w:r>
            <w:r w:rsidR="00340360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181±41</w:t>
            </w:r>
            <w:r w:rsidR="00340360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163±43</w:t>
            </w:r>
            <w:r w:rsidR="00340360" w:rsidRPr="00C270EA">
              <w:rPr>
                <w:sz w:val="17"/>
                <w:szCs w:val="17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128±31</w:t>
            </w:r>
            <w:r w:rsidR="00340360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0.002</w:t>
            </w:r>
          </w:p>
        </w:tc>
      </w:tr>
      <w:tr w:rsidR="00133F53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F53" w:rsidRPr="00C270EA" w:rsidRDefault="00133F53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LVMI/ </w:t>
            </w:r>
            <w:proofErr w:type="spellStart"/>
            <w:r w:rsidRPr="00C270EA">
              <w:rPr>
                <w:b/>
                <w:sz w:val="17"/>
                <w:szCs w:val="17"/>
                <w:lang w:val="en-GB"/>
              </w:rPr>
              <w:t>LVEDV</w:t>
            </w:r>
            <w:r w:rsidRPr="00C270EA">
              <w:rPr>
                <w:b/>
                <w:sz w:val="17"/>
                <w:szCs w:val="17"/>
                <w:vertAlign w:val="subscript"/>
                <w:lang w:val="en-GB"/>
              </w:rPr>
              <w:t>i</w:t>
            </w:r>
            <w:proofErr w:type="spellEnd"/>
            <w:r w:rsidRPr="00C270EA">
              <w:rPr>
                <w:b/>
                <w:sz w:val="17"/>
                <w:szCs w:val="17"/>
                <w:lang w:val="en-GB"/>
              </w:rPr>
              <w:t xml:space="preserve">, </w:t>
            </w:r>
            <w:r w:rsidRPr="00C270EA">
              <w:rPr>
                <w:i/>
                <w:sz w:val="17"/>
                <w:szCs w:val="17"/>
                <w:lang w:val="en-GB"/>
              </w:rPr>
              <w:t>g/ml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3.50±1.16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3.94±1.18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33F53" w:rsidRPr="00C270EA" w:rsidRDefault="00AC4C3B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2.94±0.74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3F53" w:rsidRPr="00C270EA" w:rsidRDefault="006705B4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2.74±0.68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C270EA" w:rsidRDefault="006705B4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4.04±1.32</w:t>
            </w:r>
            <w:r w:rsidR="00373190" w:rsidRPr="00C270EA">
              <w:rPr>
                <w:sz w:val="17"/>
                <w:szCs w:val="17"/>
                <w:lang w:val="en-GB"/>
              </w:rPr>
              <w:t xml:space="preserve"> </w:t>
            </w:r>
            <w:r w:rsidR="009D5A22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3F53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LVEDD, </w:t>
            </w:r>
            <w:r w:rsidRPr="00C270EA">
              <w:rPr>
                <w:i/>
                <w:sz w:val="17"/>
                <w:szCs w:val="17"/>
                <w:lang w:val="en-GB"/>
              </w:rPr>
              <w:t>mm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47±8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44±7</w:t>
            </w:r>
            <w:r w:rsidR="00251BDD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55±8</w:t>
            </w:r>
            <w:r w:rsidR="00251BDD" w:rsidRPr="00C270EA">
              <w:rPr>
                <w:sz w:val="17"/>
                <w:szCs w:val="17"/>
                <w:lang w:val="en-GB"/>
              </w:rPr>
              <w:t xml:space="preserve"> </w:t>
            </w:r>
            <w:r w:rsidR="00251BDD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52±7</w:t>
            </w:r>
            <w:r w:rsidR="00251BDD" w:rsidRPr="00C270EA">
              <w:rPr>
                <w:sz w:val="17"/>
                <w:szCs w:val="17"/>
                <w:lang w:val="en-GB"/>
              </w:rPr>
              <w:t xml:space="preserve"> </w:t>
            </w:r>
            <w:r w:rsidR="00251BDD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43±6</w:t>
            </w:r>
            <w:r w:rsidR="00251BDD" w:rsidRPr="00C270EA">
              <w:rPr>
                <w:sz w:val="17"/>
                <w:szCs w:val="17"/>
                <w:lang w:val="en-GB"/>
              </w:rPr>
              <w:t xml:space="preserve"> </w:t>
            </w:r>
            <w:r w:rsidR="00251BDD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Septal wall, </w:t>
            </w:r>
            <w:r w:rsidRPr="00C270EA">
              <w:rPr>
                <w:i/>
                <w:sz w:val="17"/>
                <w:szCs w:val="17"/>
                <w:lang w:val="en-GB"/>
              </w:rPr>
              <w:t>mm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15.4±2.3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16.1±2.2</w:t>
            </w:r>
            <w:r w:rsidR="009F0651" w:rsidRPr="00C270EA">
              <w:rPr>
                <w:sz w:val="17"/>
                <w:szCs w:val="17"/>
                <w:vertAlign w:val="superscript"/>
                <w:lang w:val="en-GB"/>
              </w:rPr>
              <w:t xml:space="preserve">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15.1±1.5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14.9±2.7</w:t>
            </w:r>
            <w:r w:rsidR="009F0651" w:rsidRPr="00C270EA">
              <w:rPr>
                <w:sz w:val="17"/>
                <w:szCs w:val="17"/>
                <w:lang w:val="en-GB"/>
              </w:rPr>
              <w:t xml:space="preserve"> </w:t>
            </w:r>
            <w:r w:rsidR="009F0651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14.7±2.1</w:t>
            </w:r>
            <w:r w:rsidR="009F0651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858ED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0.07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Posterior wall, </w:t>
            </w:r>
            <w:r w:rsidRPr="00C270EA">
              <w:rPr>
                <w:i/>
                <w:sz w:val="17"/>
                <w:szCs w:val="17"/>
                <w:lang w:val="en-GB"/>
              </w:rPr>
              <w:t>mm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13.8±2.1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DE3B6C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14.5±2.0</w:t>
            </w:r>
            <w:r w:rsidR="009F0651" w:rsidRPr="00C270EA">
              <w:rPr>
                <w:sz w:val="17"/>
                <w:szCs w:val="17"/>
                <w:lang w:val="en-GB"/>
              </w:rPr>
              <w:t xml:space="preserve"> 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>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13.4±2.3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13.2±2.2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 xml:space="preserve"> 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13.8±1.8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858ED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0.07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>Relative wall thickness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0.60±0.14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0.67±0.13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0.50±0.10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0.51±0.11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0.64±0.07</w:t>
            </w:r>
            <w:r w:rsidR="00DE3B6C" w:rsidRPr="00C270EA">
              <w:rPr>
                <w:sz w:val="17"/>
                <w:szCs w:val="17"/>
                <w:lang w:val="en-GB"/>
              </w:rPr>
              <w:t xml:space="preserve"> </w:t>
            </w:r>
            <w:r w:rsidR="00DE3B6C" w:rsidRPr="00C270EA">
              <w:rPr>
                <w:sz w:val="17"/>
                <w:szCs w:val="17"/>
                <w:vertAlign w:val="superscript"/>
                <w:lang w:val="en-GB"/>
              </w:rPr>
              <w:t>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Concentric remodelling, </w:t>
            </w:r>
            <w:r w:rsidRPr="00C270EA">
              <w:rPr>
                <w:i/>
                <w:sz w:val="17"/>
                <w:szCs w:val="17"/>
                <w:lang w:val="en-GB"/>
              </w:rPr>
              <w:t>n (%)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 (10)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 (7)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 (19)</w:t>
            </w:r>
            <w:r w:rsidR="00AB0276" w:rsidRPr="00C270EA">
              <w:rPr>
                <w:sz w:val="17"/>
                <w:szCs w:val="17"/>
                <w:lang w:val="en-GB"/>
              </w:rPr>
              <w:t xml:space="preserve"> 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>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B16B20" w:rsidRDefault="001E06FA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  <w:lang w:val="en-GB"/>
              </w:rPr>
              <w:t>0.24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Concentric hypertrophy, </w:t>
            </w:r>
            <w:proofErr w:type="gramStart"/>
            <w:r w:rsidRPr="00C270EA">
              <w:rPr>
                <w:i/>
                <w:sz w:val="17"/>
                <w:szCs w:val="17"/>
                <w:lang w:val="en-GB"/>
              </w:rPr>
              <w:t>n(</w:t>
            </w:r>
            <w:proofErr w:type="gramEnd"/>
            <w:r w:rsidRPr="00C270EA">
              <w:rPr>
                <w:i/>
                <w:sz w:val="17"/>
                <w:szCs w:val="17"/>
                <w:lang w:val="en-GB"/>
              </w:rPr>
              <w:t>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76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35 (88)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(57)</w:t>
            </w:r>
            <w:r w:rsidR="00AB0276" w:rsidRPr="00C270EA">
              <w:rPr>
                <w:sz w:val="17"/>
                <w:szCs w:val="17"/>
                <w:lang w:val="en-GB"/>
              </w:rPr>
              <w:t xml:space="preserve"> 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18 (69)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13 (81)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1E06FA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0.08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Eccentric hypertrophy, </w:t>
            </w:r>
            <w:r w:rsidRPr="00C270EA">
              <w:rPr>
                <w:i/>
                <w:sz w:val="17"/>
                <w:szCs w:val="17"/>
                <w:lang w:val="en-GB"/>
              </w:rPr>
              <w:t>n (%)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 (3)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E7885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 (36)</w:t>
            </w:r>
            <w:r w:rsidR="00AB0276" w:rsidRPr="00C270EA">
              <w:rPr>
                <w:sz w:val="17"/>
                <w:szCs w:val="17"/>
                <w:lang w:val="en-GB"/>
              </w:rPr>
              <w:t xml:space="preserve"> 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>a,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(31)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a, 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 (0)</w:t>
            </w:r>
            <w:r w:rsidR="00AB0276" w:rsidRPr="00C270EA">
              <w:rPr>
                <w:sz w:val="17"/>
                <w:szCs w:val="17"/>
                <w:vertAlign w:val="superscript"/>
                <w:lang w:val="en-GB"/>
              </w:rPr>
              <w:t xml:space="preserve"> b,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0.0005</w:t>
            </w:r>
          </w:p>
        </w:tc>
        <w:bookmarkStart w:id="0" w:name="_GoBack"/>
        <w:bookmarkEnd w:id="0"/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>E/e’ mean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18±7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20±7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19±7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15±5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16±7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F31DF2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0.29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>V</w:t>
            </w:r>
            <w:r w:rsidRPr="00C270EA">
              <w:rPr>
                <w:b/>
                <w:sz w:val="17"/>
                <w:szCs w:val="17"/>
                <w:vertAlign w:val="subscript"/>
                <w:lang w:val="en-GB"/>
              </w:rPr>
              <w:t>max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,  </w:t>
            </w:r>
            <w:r w:rsidRPr="00C270EA">
              <w:rPr>
                <w:i/>
                <w:sz w:val="17"/>
                <w:szCs w:val="17"/>
                <w:lang w:val="en-GB"/>
              </w:rPr>
              <w:t>m/s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3.9±0.7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4.5±0.5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 xml:space="preserve">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4.4±0.5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 xml:space="preserve">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3.3±0.4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 xml:space="preserve"> a, b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92478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3.3±0.3</w:t>
            </w:r>
            <w:r w:rsidR="000A279F" w:rsidRPr="00C270EA">
              <w:rPr>
                <w:sz w:val="17"/>
                <w:szCs w:val="17"/>
                <w:lang w:val="en-GB"/>
              </w:rPr>
              <w:t xml:space="preserve"> 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>a,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Mean Gradient, </w:t>
            </w:r>
            <w:r w:rsidRPr="00C270EA">
              <w:rPr>
                <w:i/>
                <w:sz w:val="17"/>
                <w:szCs w:val="17"/>
                <w:lang w:val="en-GB"/>
              </w:rPr>
              <w:t>mmHg</w:t>
            </w:r>
            <w:r w:rsidRPr="00C270EA">
              <w:rPr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37±15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49±14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 xml:space="preserve">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45±11</w:t>
            </w:r>
            <w:r w:rsidR="000A279F" w:rsidRPr="00C270EA">
              <w:rPr>
                <w:sz w:val="17"/>
                <w:szCs w:val="17"/>
                <w:lang w:val="en-GB"/>
              </w:rPr>
              <w:t xml:space="preserve"> 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>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24±7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 xml:space="preserve"> a, b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25±5</w:t>
            </w:r>
            <w:r w:rsidR="000A279F" w:rsidRPr="00C270EA">
              <w:rPr>
                <w:sz w:val="17"/>
                <w:szCs w:val="17"/>
                <w:lang w:val="en-GB"/>
              </w:rPr>
              <w:t xml:space="preserve"> </w:t>
            </w:r>
            <w:r w:rsidR="000A279F" w:rsidRPr="00C270EA">
              <w:rPr>
                <w:sz w:val="17"/>
                <w:szCs w:val="17"/>
                <w:vertAlign w:val="superscript"/>
                <w:lang w:val="en-GB"/>
              </w:rPr>
              <w:t>a,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&lt;0.0001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Aortic valve area (AVA), </w:t>
            </w:r>
            <w:r w:rsidRPr="00C270EA">
              <w:rPr>
                <w:i/>
                <w:sz w:val="17"/>
                <w:szCs w:val="17"/>
                <w:lang w:val="en-GB"/>
              </w:rPr>
              <w:t>cm²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0.74±0.17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0.73±0.18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0.62±0.12</w:t>
            </w:r>
            <w:r w:rsidR="00461F46" w:rsidRPr="00C270EA">
              <w:rPr>
                <w:sz w:val="17"/>
                <w:szCs w:val="17"/>
                <w:lang w:val="en-GB"/>
              </w:rPr>
              <w:t xml:space="preserve"> </w:t>
            </w:r>
            <w:r w:rsidR="00461F46" w:rsidRPr="00C270EA">
              <w:rPr>
                <w:sz w:val="17"/>
                <w:szCs w:val="17"/>
                <w:vertAlign w:val="superscript"/>
                <w:lang w:val="en-GB"/>
              </w:rPr>
              <w:t>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0.76±0.18</w:t>
            </w:r>
            <w:r w:rsidR="00461F46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0.77±0.13</w:t>
            </w:r>
            <w:r w:rsidR="00461F46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B16B20" w:rsidRDefault="0008082F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  <w:lang w:val="en-GB"/>
              </w:rPr>
              <w:t>0.06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Indexed AVA, </w:t>
            </w:r>
            <w:r w:rsidRPr="00C270EA">
              <w:rPr>
                <w:i/>
                <w:sz w:val="17"/>
                <w:szCs w:val="17"/>
                <w:lang w:val="en-GB"/>
              </w:rPr>
              <w:t>cm²/m² BSA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0.39±0.09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0.39±0.08</w:t>
            </w:r>
            <w:r w:rsidR="00D373BD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0.33±0.07</w:t>
            </w:r>
            <w:r w:rsidR="00D373BD" w:rsidRPr="00C270EA">
              <w:rPr>
                <w:sz w:val="17"/>
                <w:szCs w:val="17"/>
                <w:lang w:val="en-GB"/>
              </w:rPr>
              <w:t xml:space="preserve"> </w:t>
            </w:r>
            <w:r w:rsidR="00D373BD" w:rsidRPr="00C270EA">
              <w:rPr>
                <w:sz w:val="17"/>
                <w:szCs w:val="17"/>
                <w:vertAlign w:val="superscript"/>
                <w:lang w:val="en-GB"/>
              </w:rPr>
              <w:t>a,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0.40±0.08</w:t>
            </w:r>
            <w:r w:rsidR="00D373BD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0.41±0.10</w:t>
            </w:r>
            <w:r w:rsidR="00D373BD" w:rsidRPr="00C270EA">
              <w:rPr>
                <w:sz w:val="17"/>
                <w:szCs w:val="17"/>
                <w:lang w:val="en-GB"/>
              </w:rPr>
              <w:t xml:space="preserve"> </w:t>
            </w:r>
            <w:r w:rsidR="00D373BD" w:rsidRPr="00C270EA">
              <w:rPr>
                <w:sz w:val="17"/>
                <w:szCs w:val="17"/>
                <w:vertAlign w:val="superscript"/>
                <w:lang w:val="en-GB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B16B20" w:rsidRDefault="00B16B20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B16B20">
              <w:rPr>
                <w:sz w:val="17"/>
                <w:szCs w:val="17"/>
                <w:lang w:val="en-GB"/>
              </w:rPr>
              <w:t>0.04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proofErr w:type="spellStart"/>
            <w:r w:rsidRPr="00C270EA">
              <w:rPr>
                <w:b/>
                <w:sz w:val="17"/>
                <w:szCs w:val="17"/>
                <w:lang w:val="en-GB"/>
              </w:rPr>
              <w:t>PAsP</w:t>
            </w:r>
            <w:proofErr w:type="spellEnd"/>
            <w:r w:rsidRPr="00C270EA">
              <w:rPr>
                <w:b/>
                <w:sz w:val="17"/>
                <w:szCs w:val="17"/>
                <w:lang w:val="en-GB"/>
              </w:rPr>
              <w:t xml:space="preserve">, </w:t>
            </w:r>
            <w:r w:rsidRPr="00C270EA">
              <w:rPr>
                <w:i/>
                <w:sz w:val="17"/>
                <w:szCs w:val="17"/>
                <w:lang w:val="en-GB"/>
              </w:rPr>
              <w:t>mmHg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48±16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45±15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55±19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46±11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52±21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08082F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0.21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i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TAPSE, </w:t>
            </w:r>
            <w:r w:rsidRPr="00C270EA">
              <w:rPr>
                <w:i/>
                <w:sz w:val="17"/>
                <w:szCs w:val="17"/>
                <w:lang w:val="en-GB"/>
              </w:rPr>
              <w:t>mm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170424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20±5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0B1AB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23±5</w:t>
            </w:r>
            <w:r w:rsidR="00BD36B6" w:rsidRPr="00C270EA">
              <w:rPr>
                <w:sz w:val="17"/>
                <w:szCs w:val="17"/>
                <w:vertAlign w:val="superscript"/>
                <w:lang w:val="en-GB"/>
              </w:rPr>
              <w:t xml:space="preserve"> b, c, 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19±4</w:t>
            </w:r>
            <w:r w:rsidR="00BD36B6" w:rsidRPr="00C270EA">
              <w:rPr>
                <w:sz w:val="17"/>
                <w:szCs w:val="17"/>
                <w:vertAlign w:val="superscript"/>
                <w:lang w:val="en-GB"/>
              </w:rPr>
              <w:t xml:space="preserve"> 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19±4</w:t>
            </w:r>
            <w:r w:rsidR="00BD36B6" w:rsidRPr="00C270EA">
              <w:rPr>
                <w:sz w:val="17"/>
                <w:szCs w:val="17"/>
                <w:lang w:val="en-GB"/>
              </w:rPr>
              <w:t xml:space="preserve"> </w:t>
            </w:r>
            <w:r w:rsidR="00BD36B6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19±4</w:t>
            </w:r>
            <w:r w:rsidR="00BD36B6" w:rsidRPr="00C270EA">
              <w:rPr>
                <w:sz w:val="17"/>
                <w:szCs w:val="17"/>
                <w:vertAlign w:val="superscript"/>
                <w:lang w:val="en-GB"/>
              </w:rPr>
              <w:t xml:space="preserve">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0.0005</w:t>
            </w:r>
          </w:p>
        </w:tc>
      </w:tr>
      <w:tr w:rsidR="00170424" w:rsidRPr="00C270EA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Moderate </w:t>
            </w:r>
            <w:r w:rsidR="00594248" w:rsidRPr="00C270EA">
              <w:rPr>
                <w:b/>
                <w:sz w:val="17"/>
                <w:szCs w:val="17"/>
                <w:lang w:val="en-GB"/>
              </w:rPr>
              <w:t xml:space="preserve">or severe 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MR, </w:t>
            </w:r>
            <w:r w:rsidRPr="00C270EA">
              <w:rPr>
                <w:i/>
                <w:sz w:val="17"/>
                <w:szCs w:val="17"/>
                <w:lang w:val="en-GB"/>
              </w:rPr>
              <w:t>n (%)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594248" w:rsidP="00594248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41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11 (28</w:t>
            </w:r>
            <w:r w:rsidR="000B1AB8" w:rsidRPr="00C270EA">
              <w:rPr>
                <w:sz w:val="17"/>
                <w:szCs w:val="17"/>
                <w:lang w:val="en-GB"/>
              </w:rPr>
              <w:t>)</w:t>
            </w:r>
            <w:r w:rsidR="00FD6341" w:rsidRPr="00C270EA">
              <w:rPr>
                <w:sz w:val="17"/>
                <w:szCs w:val="17"/>
                <w:vertAlign w:val="superscript"/>
                <w:lang w:val="en-GB"/>
              </w:rPr>
              <w:t xml:space="preserve"> c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7 (50</w:t>
            </w:r>
            <w:r w:rsidR="001D0E63" w:rsidRPr="00C270EA">
              <w:rPr>
                <w:sz w:val="17"/>
                <w:szCs w:val="17"/>
                <w:lang w:val="en-GB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A76E4C" w:rsidP="00594248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1</w:t>
            </w:r>
            <w:r w:rsidR="00594248" w:rsidRPr="00C270EA">
              <w:rPr>
                <w:sz w:val="17"/>
                <w:szCs w:val="17"/>
                <w:lang w:val="en-GB"/>
              </w:rPr>
              <w:t>7 (65</w:t>
            </w:r>
            <w:r w:rsidRPr="00C270EA">
              <w:rPr>
                <w:sz w:val="17"/>
                <w:szCs w:val="17"/>
                <w:lang w:val="en-GB"/>
              </w:rPr>
              <w:t>)</w:t>
            </w:r>
            <w:r w:rsidR="00FD6341" w:rsidRPr="00C270EA">
              <w:rPr>
                <w:sz w:val="17"/>
                <w:szCs w:val="17"/>
                <w:lang w:val="en-GB"/>
              </w:rPr>
              <w:t xml:space="preserve"> </w:t>
            </w:r>
            <w:r w:rsidR="00FD6341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EB096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6 (38)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0.02</w:t>
            </w:r>
          </w:p>
        </w:tc>
      </w:tr>
      <w:tr w:rsidR="00170424" w:rsidRPr="005870D3" w:rsidTr="00170424">
        <w:trPr>
          <w:jc w:val="center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0424" w:rsidRPr="00C270EA" w:rsidRDefault="00170424" w:rsidP="00170424">
            <w:pPr>
              <w:spacing w:line="360" w:lineRule="auto"/>
              <w:rPr>
                <w:b/>
                <w:sz w:val="17"/>
                <w:szCs w:val="17"/>
                <w:lang w:val="en-GB"/>
              </w:rPr>
            </w:pPr>
            <w:r w:rsidRPr="00C270EA">
              <w:rPr>
                <w:b/>
                <w:sz w:val="17"/>
                <w:szCs w:val="17"/>
                <w:lang w:val="en-GB"/>
              </w:rPr>
              <w:t xml:space="preserve">Moderate </w:t>
            </w:r>
            <w:r w:rsidR="00594248" w:rsidRPr="00C270EA">
              <w:rPr>
                <w:b/>
                <w:sz w:val="17"/>
                <w:szCs w:val="17"/>
                <w:lang w:val="en-GB"/>
              </w:rPr>
              <w:t xml:space="preserve">or severe </w:t>
            </w:r>
            <w:r w:rsidRPr="00C270EA">
              <w:rPr>
                <w:b/>
                <w:sz w:val="17"/>
                <w:szCs w:val="17"/>
                <w:lang w:val="en-GB"/>
              </w:rPr>
              <w:t xml:space="preserve">TR, </w:t>
            </w:r>
            <w:r w:rsidRPr="00C270EA">
              <w:rPr>
                <w:i/>
                <w:sz w:val="17"/>
                <w:szCs w:val="17"/>
                <w:lang w:val="en-GB"/>
              </w:rPr>
              <w:t>n (%)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32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(20</w:t>
            </w:r>
            <w:r w:rsidR="000B1AB8" w:rsidRPr="00C270EA">
              <w:rPr>
                <w:sz w:val="17"/>
                <w:szCs w:val="17"/>
                <w:lang w:val="en-GB"/>
              </w:rPr>
              <w:t>)</w:t>
            </w:r>
            <w:r w:rsidR="00FD6341" w:rsidRPr="00C270EA">
              <w:rPr>
                <w:sz w:val="17"/>
                <w:szCs w:val="17"/>
                <w:vertAlign w:val="superscript"/>
                <w:lang w:val="en-GB"/>
              </w:rPr>
              <w:t xml:space="preserve"> 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70424" w:rsidRPr="00C270EA" w:rsidRDefault="001D0E63" w:rsidP="00170424">
            <w:pPr>
              <w:spacing w:line="360" w:lineRule="auto"/>
              <w:jc w:val="center"/>
              <w:rPr>
                <w:sz w:val="17"/>
                <w:szCs w:val="17"/>
                <w:vertAlign w:val="superscript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(57)</w:t>
            </w:r>
            <w:r w:rsidR="00FD6341" w:rsidRPr="00C270EA">
              <w:rPr>
                <w:sz w:val="17"/>
                <w:szCs w:val="17"/>
                <w:lang w:val="en-GB"/>
              </w:rPr>
              <w:t xml:space="preserve"> </w:t>
            </w:r>
            <w:r w:rsidR="00FD6341" w:rsidRPr="00C270EA">
              <w:rPr>
                <w:sz w:val="17"/>
                <w:szCs w:val="17"/>
                <w:vertAlign w:val="superscript"/>
                <w:lang w:val="en-GB"/>
              </w:rPr>
              <w:t>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(31</w:t>
            </w:r>
            <w:r w:rsidR="00A76E4C" w:rsidRPr="00C270EA">
              <w:rPr>
                <w:sz w:val="17"/>
                <w:szCs w:val="17"/>
                <w:lang w:val="en-GB"/>
              </w:rPr>
              <w:t>)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C270EA" w:rsidRDefault="00594248" w:rsidP="00170424">
            <w:pPr>
              <w:spacing w:line="360" w:lineRule="auto"/>
              <w:jc w:val="center"/>
              <w:rPr>
                <w:sz w:val="17"/>
                <w:szCs w:val="17"/>
                <w:lang w:val="en-GB"/>
              </w:rPr>
            </w:pPr>
            <w:r w:rsidRPr="00C270EA">
              <w:rPr>
                <w:sz w:val="17"/>
                <w:szCs w:val="17"/>
                <w:lang w:val="en-GB"/>
              </w:rPr>
              <w:t>8 (50</w:t>
            </w:r>
            <w:r w:rsidR="00EB0968" w:rsidRPr="00C270EA">
              <w:rPr>
                <w:sz w:val="17"/>
                <w:szCs w:val="17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0424" w:rsidRPr="00B16B20" w:rsidRDefault="00B16B20" w:rsidP="00170424">
            <w:pPr>
              <w:jc w:val="center"/>
              <w:rPr>
                <w:sz w:val="17"/>
                <w:szCs w:val="17"/>
              </w:rPr>
            </w:pPr>
            <w:r w:rsidRPr="00B16B20">
              <w:rPr>
                <w:sz w:val="17"/>
                <w:szCs w:val="17"/>
              </w:rPr>
              <w:t>0.03</w:t>
            </w:r>
          </w:p>
        </w:tc>
      </w:tr>
      <w:tr w:rsidR="00170424" w:rsidRPr="0059213B" w:rsidTr="00215EF2">
        <w:trPr>
          <w:jc w:val="center"/>
        </w:trPr>
        <w:tc>
          <w:tcPr>
            <w:tcW w:w="29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70424" w:rsidRPr="0059213B" w:rsidRDefault="00170424" w:rsidP="00170424">
            <w:pPr>
              <w:spacing w:line="360" w:lineRule="auto"/>
              <w:rPr>
                <w:b/>
                <w:sz w:val="4"/>
                <w:szCs w:val="4"/>
                <w:u w:val="single"/>
                <w:lang w:val="en-GB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7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70424" w:rsidRPr="0059213B" w:rsidRDefault="00170424" w:rsidP="00170424">
            <w:pPr>
              <w:spacing w:line="360" w:lineRule="auto"/>
              <w:jc w:val="center"/>
              <w:rPr>
                <w:sz w:val="4"/>
                <w:szCs w:val="4"/>
                <w:lang w:val="en-GB"/>
              </w:rPr>
            </w:pPr>
          </w:p>
        </w:tc>
      </w:tr>
    </w:tbl>
    <w:p w:rsidR="00215EF2" w:rsidRDefault="00215EF2" w:rsidP="00215EF2">
      <w:pPr>
        <w:spacing w:line="360" w:lineRule="auto"/>
        <w:rPr>
          <w:lang w:val="en-GB"/>
        </w:rPr>
      </w:pPr>
    </w:p>
    <w:p w:rsidR="00215EF2" w:rsidRPr="00B95C88" w:rsidRDefault="00215EF2" w:rsidP="00215EF2">
      <w:pPr>
        <w:numPr>
          <w:ilvl w:val="0"/>
          <w:numId w:val="1"/>
        </w:numPr>
        <w:rPr>
          <w:sz w:val="20"/>
          <w:szCs w:val="20"/>
          <w:lang w:val="en-GB"/>
        </w:rPr>
      </w:pPr>
      <w:r w:rsidRPr="00B95C88">
        <w:rPr>
          <w:b/>
          <w:sz w:val="20"/>
          <w:szCs w:val="20"/>
          <w:lang w:val="en-GB"/>
        </w:rPr>
        <w:t>a</w:t>
      </w:r>
      <w:r w:rsidRPr="00B95C88">
        <w:rPr>
          <w:sz w:val="20"/>
          <w:szCs w:val="20"/>
          <w:lang w:val="en-GB"/>
        </w:rPr>
        <w:t xml:space="preserve">: </w:t>
      </w:r>
      <w:r>
        <w:rPr>
          <w:sz w:val="20"/>
          <w:szCs w:val="20"/>
          <w:lang w:val="en-GB"/>
        </w:rPr>
        <w:t>p&lt;0.05 vs. NEF-HG AS</w:t>
      </w:r>
      <w:r w:rsidRPr="00B95C88">
        <w:rPr>
          <w:sz w:val="20"/>
          <w:szCs w:val="20"/>
          <w:lang w:val="en-GB"/>
        </w:rPr>
        <w:t xml:space="preserve">; </w:t>
      </w:r>
      <w:r w:rsidRPr="00B95C88">
        <w:rPr>
          <w:b/>
          <w:sz w:val="20"/>
          <w:szCs w:val="20"/>
          <w:lang w:val="en-GB"/>
        </w:rPr>
        <w:t>b</w:t>
      </w:r>
      <w:r w:rsidRPr="00B95C88">
        <w:rPr>
          <w:sz w:val="20"/>
          <w:szCs w:val="20"/>
          <w:lang w:val="en-GB"/>
        </w:rPr>
        <w:t xml:space="preserve">: </w:t>
      </w:r>
      <w:r>
        <w:rPr>
          <w:sz w:val="20"/>
          <w:szCs w:val="20"/>
          <w:lang w:val="en-GB"/>
        </w:rPr>
        <w:t xml:space="preserve">p&lt;0.05 vs. </w:t>
      </w:r>
      <w:r w:rsidR="009D5A22">
        <w:rPr>
          <w:sz w:val="20"/>
          <w:szCs w:val="20"/>
          <w:lang w:val="en-GB"/>
        </w:rPr>
        <w:t>LEF-H</w:t>
      </w:r>
      <w:r>
        <w:rPr>
          <w:sz w:val="20"/>
          <w:szCs w:val="20"/>
          <w:lang w:val="en-GB"/>
        </w:rPr>
        <w:t>G AS</w:t>
      </w:r>
      <w:r w:rsidRPr="00B95C88">
        <w:rPr>
          <w:sz w:val="20"/>
          <w:szCs w:val="20"/>
          <w:lang w:val="en-GB"/>
        </w:rPr>
        <w:t xml:space="preserve">; </w:t>
      </w:r>
      <w:r w:rsidRPr="00B95C88">
        <w:rPr>
          <w:b/>
          <w:sz w:val="20"/>
          <w:szCs w:val="20"/>
          <w:lang w:val="en-GB"/>
        </w:rPr>
        <w:t>c</w:t>
      </w:r>
      <w:r w:rsidRPr="00B95C88">
        <w:rPr>
          <w:sz w:val="20"/>
          <w:szCs w:val="20"/>
          <w:lang w:val="en-GB"/>
        </w:rPr>
        <w:t xml:space="preserve">: </w:t>
      </w:r>
      <w:r>
        <w:rPr>
          <w:sz w:val="20"/>
          <w:szCs w:val="20"/>
          <w:lang w:val="en-GB"/>
        </w:rPr>
        <w:t>p&lt;0.05 vs. LEF-</w:t>
      </w:r>
      <w:r w:rsidR="009D5A22">
        <w:rPr>
          <w:sz w:val="20"/>
          <w:szCs w:val="20"/>
          <w:lang w:val="en-GB"/>
        </w:rPr>
        <w:t>L</w:t>
      </w:r>
      <w:r>
        <w:rPr>
          <w:sz w:val="20"/>
          <w:szCs w:val="20"/>
          <w:lang w:val="en-GB"/>
        </w:rPr>
        <w:t>G AS</w:t>
      </w:r>
      <w:r w:rsidRPr="00B95C88">
        <w:rPr>
          <w:sz w:val="20"/>
          <w:szCs w:val="20"/>
          <w:lang w:val="en-GB"/>
        </w:rPr>
        <w:t xml:space="preserve">; </w:t>
      </w:r>
      <w:r w:rsidRPr="00B95C88">
        <w:rPr>
          <w:b/>
          <w:sz w:val="20"/>
          <w:szCs w:val="20"/>
          <w:lang w:val="en-GB"/>
        </w:rPr>
        <w:t>d</w:t>
      </w:r>
      <w:r w:rsidRPr="00B95C88">
        <w:rPr>
          <w:sz w:val="20"/>
          <w:szCs w:val="20"/>
          <w:lang w:val="en-GB"/>
        </w:rPr>
        <w:t xml:space="preserve">: </w:t>
      </w:r>
      <w:r>
        <w:rPr>
          <w:sz w:val="20"/>
          <w:szCs w:val="20"/>
          <w:lang w:val="en-GB"/>
        </w:rPr>
        <w:t xml:space="preserve">p&lt;0.05 vs. </w:t>
      </w:r>
      <w:r w:rsidR="009D5A22">
        <w:rPr>
          <w:sz w:val="20"/>
          <w:szCs w:val="20"/>
          <w:lang w:val="en-GB"/>
        </w:rPr>
        <w:t>PLF</w:t>
      </w:r>
      <w:r>
        <w:rPr>
          <w:sz w:val="20"/>
          <w:szCs w:val="20"/>
          <w:lang w:val="en-GB"/>
        </w:rPr>
        <w:t>-LG AS</w:t>
      </w:r>
    </w:p>
    <w:p w:rsidR="00215EF2" w:rsidRPr="00BE0741" w:rsidRDefault="00215EF2" w:rsidP="00215EF2">
      <w:pPr>
        <w:numPr>
          <w:ilvl w:val="0"/>
          <w:numId w:val="1"/>
        </w:numPr>
        <w:rPr>
          <w:lang w:val="en-GB"/>
        </w:rPr>
      </w:pPr>
      <w:r w:rsidRPr="00B95C88">
        <w:rPr>
          <w:sz w:val="20"/>
          <w:szCs w:val="20"/>
          <w:lang w:val="en-GB"/>
        </w:rPr>
        <w:t xml:space="preserve">2-group-comparisons: </w:t>
      </w:r>
      <w:r w:rsidR="007C0398">
        <w:rPr>
          <w:sz w:val="20"/>
          <w:szCs w:val="20"/>
          <w:lang w:val="en-GB"/>
        </w:rPr>
        <w:t>t</w:t>
      </w:r>
      <w:r w:rsidRPr="00B95C88">
        <w:rPr>
          <w:sz w:val="20"/>
          <w:szCs w:val="20"/>
          <w:lang w:val="en-GB"/>
        </w:rPr>
        <w:t>-test for continuous variables</w:t>
      </w:r>
      <w:r>
        <w:rPr>
          <w:sz w:val="20"/>
          <w:szCs w:val="20"/>
          <w:lang w:val="en-GB"/>
        </w:rPr>
        <w:t>;</w:t>
      </w:r>
      <w:r w:rsidRPr="00D30CDA">
        <w:rPr>
          <w:sz w:val="20"/>
          <w:szCs w:val="20"/>
          <w:lang w:val="en-GB"/>
        </w:rPr>
        <w:t xml:space="preserve"> fisher’s exact test for categorical variables</w:t>
      </w:r>
    </w:p>
    <w:p w:rsidR="00215EF2" w:rsidRPr="007C0398" w:rsidRDefault="00215EF2" w:rsidP="007C0398">
      <w:pPr>
        <w:numPr>
          <w:ilvl w:val="0"/>
          <w:numId w:val="1"/>
        </w:numPr>
        <w:rPr>
          <w:lang w:val="en-GB"/>
        </w:rPr>
      </w:pPr>
      <w:r w:rsidRPr="00B95C88">
        <w:rPr>
          <w:sz w:val="20"/>
          <w:szCs w:val="20"/>
          <w:lang w:val="en-GB"/>
        </w:rPr>
        <w:t xml:space="preserve">Comparison of all 4 groups: </w:t>
      </w:r>
      <w:r w:rsidR="007C0398">
        <w:rPr>
          <w:lang w:val="en-GB"/>
        </w:rPr>
        <w:t xml:space="preserve"> </w:t>
      </w:r>
      <w:r w:rsidR="007C0398" w:rsidRPr="007C0398">
        <w:rPr>
          <w:sz w:val="20"/>
          <w:szCs w:val="20"/>
          <w:lang w:val="en-GB"/>
        </w:rPr>
        <w:t xml:space="preserve">1way </w:t>
      </w:r>
      <w:r w:rsidR="007C0398">
        <w:rPr>
          <w:sz w:val="20"/>
          <w:szCs w:val="20"/>
          <w:lang w:val="en-GB"/>
        </w:rPr>
        <w:t xml:space="preserve">ANOVA </w:t>
      </w:r>
      <w:r w:rsidRPr="007C0398">
        <w:rPr>
          <w:sz w:val="20"/>
          <w:szCs w:val="20"/>
          <w:lang w:val="en-GB"/>
        </w:rPr>
        <w:t>for continuous variables; chi-square test for categorical variables</w:t>
      </w:r>
    </w:p>
    <w:p w:rsidR="00215EF2" w:rsidRPr="00BE0741" w:rsidRDefault="00215EF2" w:rsidP="00215EF2">
      <w:pPr>
        <w:numPr>
          <w:ilvl w:val="0"/>
          <w:numId w:val="1"/>
        </w:numPr>
        <w:rPr>
          <w:lang w:val="en-GB"/>
        </w:rPr>
      </w:pPr>
      <w:r>
        <w:rPr>
          <w:sz w:val="20"/>
          <w:szCs w:val="20"/>
          <w:lang w:val="en-GB"/>
        </w:rPr>
        <w:t xml:space="preserve">LV-EF: left ventricular ejection fraction; </w:t>
      </w:r>
      <w:r w:rsidR="00594248">
        <w:rPr>
          <w:sz w:val="20"/>
          <w:szCs w:val="20"/>
          <w:lang w:val="en-GB"/>
        </w:rPr>
        <w:t xml:space="preserve">LVEDV: left ventricular end-diastolic volume; BSA: body surface area; SVI: stroke volume index; LAVI: left atrial volume index; LVMI: left ventricular mass index; LVEDD: left ventricular end-diastolic diameter; RWT: relative wall thickness; GLS: global longitudinal strain; </w:t>
      </w:r>
      <w:proofErr w:type="spellStart"/>
      <w:r>
        <w:rPr>
          <w:sz w:val="20"/>
          <w:szCs w:val="20"/>
          <w:lang w:val="en-GB"/>
        </w:rPr>
        <w:t>v</w:t>
      </w:r>
      <w:r w:rsidRPr="00B962CB">
        <w:rPr>
          <w:sz w:val="20"/>
          <w:szCs w:val="20"/>
          <w:vertAlign w:val="subscript"/>
          <w:lang w:val="en-GB"/>
        </w:rPr>
        <w:t>max</w:t>
      </w:r>
      <w:proofErr w:type="spellEnd"/>
      <w:r>
        <w:rPr>
          <w:sz w:val="20"/>
          <w:szCs w:val="20"/>
          <w:lang w:val="en-GB"/>
        </w:rPr>
        <w:t xml:space="preserve">: maximum aortic velocity; AVA: aortic valve are; </w:t>
      </w:r>
      <w:proofErr w:type="spellStart"/>
      <w:r>
        <w:rPr>
          <w:sz w:val="20"/>
          <w:szCs w:val="20"/>
          <w:lang w:val="en-GB"/>
        </w:rPr>
        <w:t>AVAi</w:t>
      </w:r>
      <w:proofErr w:type="spellEnd"/>
      <w:r>
        <w:rPr>
          <w:sz w:val="20"/>
          <w:szCs w:val="20"/>
          <w:lang w:val="en-GB"/>
        </w:rPr>
        <w:t xml:space="preserve">: indexed aortic valve area, </w:t>
      </w:r>
      <w:r w:rsidR="00594248">
        <w:rPr>
          <w:sz w:val="20"/>
          <w:szCs w:val="20"/>
          <w:lang w:val="en-GB"/>
        </w:rPr>
        <w:t xml:space="preserve">AVA/BSA; </w:t>
      </w:r>
      <w:proofErr w:type="spellStart"/>
      <w:r w:rsidR="00594248">
        <w:rPr>
          <w:sz w:val="20"/>
          <w:szCs w:val="20"/>
          <w:lang w:val="en-GB"/>
        </w:rPr>
        <w:t>PAsP</w:t>
      </w:r>
      <w:proofErr w:type="spellEnd"/>
      <w:r w:rsidR="00594248">
        <w:rPr>
          <w:sz w:val="20"/>
          <w:szCs w:val="20"/>
          <w:lang w:val="en-GB"/>
        </w:rPr>
        <w:t xml:space="preserve">: pulmonary artery systolic pressure; TAPSE: tricuspid annular plane systolic elevation; </w:t>
      </w:r>
      <w:r>
        <w:rPr>
          <w:sz w:val="20"/>
          <w:szCs w:val="20"/>
          <w:lang w:val="en-GB"/>
        </w:rPr>
        <w:t>MR: mitral regurgitation</w:t>
      </w:r>
      <w:r w:rsidR="00594248">
        <w:rPr>
          <w:sz w:val="20"/>
          <w:szCs w:val="20"/>
          <w:lang w:val="en-GB"/>
        </w:rPr>
        <w:t>; TR: tricuspid regurgitation</w:t>
      </w:r>
    </w:p>
    <w:p w:rsidR="008D46F0" w:rsidRPr="00215EF2" w:rsidRDefault="008D46F0" w:rsidP="00215EF2">
      <w:pPr>
        <w:rPr>
          <w:lang w:val="en-US"/>
        </w:rPr>
      </w:pPr>
    </w:p>
    <w:sectPr w:rsidR="008D46F0" w:rsidRPr="00215EF2" w:rsidSect="00215EF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26B61"/>
    <w:multiLevelType w:val="hybridMultilevel"/>
    <w:tmpl w:val="332441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B8"/>
    <w:rsid w:val="00021798"/>
    <w:rsid w:val="000365D6"/>
    <w:rsid w:val="00036DEB"/>
    <w:rsid w:val="00052528"/>
    <w:rsid w:val="00071F2E"/>
    <w:rsid w:val="0008082F"/>
    <w:rsid w:val="000A279F"/>
    <w:rsid w:val="000B1AB8"/>
    <w:rsid w:val="00112AF9"/>
    <w:rsid w:val="00122E53"/>
    <w:rsid w:val="001333DE"/>
    <w:rsid w:val="00133F53"/>
    <w:rsid w:val="001441EB"/>
    <w:rsid w:val="00170424"/>
    <w:rsid w:val="001935F6"/>
    <w:rsid w:val="001D0E63"/>
    <w:rsid w:val="001E06FA"/>
    <w:rsid w:val="001E213E"/>
    <w:rsid w:val="00215EF2"/>
    <w:rsid w:val="00251BDD"/>
    <w:rsid w:val="00291A7D"/>
    <w:rsid w:val="002E3BF0"/>
    <w:rsid w:val="002F3473"/>
    <w:rsid w:val="002F38B6"/>
    <w:rsid w:val="003207B9"/>
    <w:rsid w:val="00324AE3"/>
    <w:rsid w:val="0033252A"/>
    <w:rsid w:val="00340360"/>
    <w:rsid w:val="0036627C"/>
    <w:rsid w:val="00373190"/>
    <w:rsid w:val="00384F3B"/>
    <w:rsid w:val="003915B8"/>
    <w:rsid w:val="003D6A78"/>
    <w:rsid w:val="003E4FE9"/>
    <w:rsid w:val="00421123"/>
    <w:rsid w:val="00461F46"/>
    <w:rsid w:val="004C73FE"/>
    <w:rsid w:val="004D790B"/>
    <w:rsid w:val="00564BCB"/>
    <w:rsid w:val="005870D3"/>
    <w:rsid w:val="00594248"/>
    <w:rsid w:val="005B4BA6"/>
    <w:rsid w:val="005E23ED"/>
    <w:rsid w:val="005E7885"/>
    <w:rsid w:val="005F0DD5"/>
    <w:rsid w:val="00633BFC"/>
    <w:rsid w:val="006472BD"/>
    <w:rsid w:val="006472F2"/>
    <w:rsid w:val="006705B4"/>
    <w:rsid w:val="00675D1B"/>
    <w:rsid w:val="00682FBD"/>
    <w:rsid w:val="00703EB9"/>
    <w:rsid w:val="007C0398"/>
    <w:rsid w:val="0082764E"/>
    <w:rsid w:val="008436A4"/>
    <w:rsid w:val="00846FAE"/>
    <w:rsid w:val="008D46F0"/>
    <w:rsid w:val="008D62A7"/>
    <w:rsid w:val="008E301F"/>
    <w:rsid w:val="008F0CE0"/>
    <w:rsid w:val="0092478C"/>
    <w:rsid w:val="00992E10"/>
    <w:rsid w:val="009A5934"/>
    <w:rsid w:val="009B6CC3"/>
    <w:rsid w:val="009D5A22"/>
    <w:rsid w:val="009F0651"/>
    <w:rsid w:val="00A76E4C"/>
    <w:rsid w:val="00AB0276"/>
    <w:rsid w:val="00AC4C3B"/>
    <w:rsid w:val="00AD332D"/>
    <w:rsid w:val="00B16B20"/>
    <w:rsid w:val="00B663C6"/>
    <w:rsid w:val="00B858ED"/>
    <w:rsid w:val="00BD2019"/>
    <w:rsid w:val="00BD36B6"/>
    <w:rsid w:val="00C270EA"/>
    <w:rsid w:val="00C61906"/>
    <w:rsid w:val="00C73B16"/>
    <w:rsid w:val="00D03B58"/>
    <w:rsid w:val="00D122FD"/>
    <w:rsid w:val="00D373BD"/>
    <w:rsid w:val="00D6256F"/>
    <w:rsid w:val="00D65AB6"/>
    <w:rsid w:val="00D67963"/>
    <w:rsid w:val="00D73264"/>
    <w:rsid w:val="00DE3B6C"/>
    <w:rsid w:val="00DF1165"/>
    <w:rsid w:val="00EB0968"/>
    <w:rsid w:val="00ED323A"/>
    <w:rsid w:val="00EF45FF"/>
    <w:rsid w:val="00F31DF2"/>
    <w:rsid w:val="00F5066D"/>
    <w:rsid w:val="00F7639E"/>
    <w:rsid w:val="00F81368"/>
    <w:rsid w:val="00F827EE"/>
    <w:rsid w:val="00FD61E6"/>
    <w:rsid w:val="00FD6330"/>
    <w:rsid w:val="00FD6341"/>
    <w:rsid w:val="00FF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E5F3"/>
  <w15:docId w15:val="{67A75205-6DC2-4112-82C0-E2E11A79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15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Puls, Miriam</dc:creator>
  <cp:lastModifiedBy>Puls, Miriam</cp:lastModifiedBy>
  <cp:revision>2</cp:revision>
  <dcterms:created xsi:type="dcterms:W3CDTF">2019-11-01T11:22:00Z</dcterms:created>
  <dcterms:modified xsi:type="dcterms:W3CDTF">2019-11-01T11:22:00Z</dcterms:modified>
</cp:coreProperties>
</file>