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47CDD" w14:textId="160D54BD" w:rsidR="009C70F3" w:rsidRDefault="009C70F3" w:rsidP="000C2C5E">
      <w:pPr>
        <w:spacing w:line="480" w:lineRule="auto"/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noProof/>
          <w:lang w:eastAsia="de-DE"/>
        </w:rPr>
        <w:drawing>
          <wp:inline distT="0" distB="0" distL="0" distR="0" wp14:anchorId="28AF355A" wp14:editId="43288C34">
            <wp:extent cx="5759288" cy="2226365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912" cy="2245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69D85" w14:textId="3D827617" w:rsidR="009646F4" w:rsidRPr="000C2C5E" w:rsidRDefault="000C2C5E" w:rsidP="000C2C5E">
      <w:pPr>
        <w:spacing w:line="480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Figure </w:t>
      </w:r>
      <w:r w:rsidR="00E62800">
        <w:rPr>
          <w:b/>
          <w:bCs/>
          <w:lang w:val="en-US"/>
        </w:rPr>
        <w:t>S2</w:t>
      </w:r>
      <w:r>
        <w:rPr>
          <w:b/>
          <w:bCs/>
          <w:lang w:val="en-US"/>
        </w:rPr>
        <w:t xml:space="preserve">: </w:t>
      </w:r>
      <w:r w:rsidR="004F5267" w:rsidRPr="004F5267">
        <w:rPr>
          <w:bCs/>
          <w:lang w:val="en-US"/>
        </w:rPr>
        <w:t>Senescence associated β-galactosidase staining of control and patient fibroblast.</w:t>
      </w:r>
      <w:r w:rsidR="004F5267" w:rsidRPr="004F5267">
        <w:rPr>
          <w:b/>
          <w:bCs/>
          <w:lang w:val="en-US"/>
        </w:rPr>
        <w:t xml:space="preserve"> </w:t>
      </w:r>
      <w:r w:rsidR="004F5267" w:rsidRPr="004F5267">
        <w:rPr>
          <w:rFonts w:ascii="Calibri" w:hAnsi="Calibri" w:cs="Calibri"/>
          <w:b/>
          <w:color w:val="000000" w:themeColor="text1"/>
          <w:lang w:val="en-US"/>
        </w:rPr>
        <w:t>A</w:t>
      </w:r>
      <w:r w:rsidR="004F5267">
        <w:rPr>
          <w:lang w:val="en-US"/>
        </w:rPr>
        <w:t xml:space="preserve"> </w:t>
      </w:r>
      <w:r w:rsidR="004F5267" w:rsidRPr="004F5267">
        <w:rPr>
          <w:lang w:val="en-US"/>
        </w:rPr>
        <w:t xml:space="preserve">Cells were treated with 150 µM H2O2, and β-galactosidase positive cells shown by blue granules within the cytoplasm were counted using a bright-field microscope. Technical triplicates </w:t>
      </w:r>
      <w:proofErr w:type="gramStart"/>
      <w:r w:rsidR="004F5267" w:rsidRPr="004F5267">
        <w:rPr>
          <w:lang w:val="en-US"/>
        </w:rPr>
        <w:t>have been performed</w:t>
      </w:r>
      <w:proofErr w:type="gramEnd"/>
      <w:r w:rsidR="004F5267" w:rsidRPr="004F5267">
        <w:rPr>
          <w:lang w:val="en-US"/>
        </w:rPr>
        <w:t xml:space="preserve"> on one biological sample each, and 500 to 800 cells were counted for each sample and triplicate. Three representative pictures for each sample and condition </w:t>
      </w:r>
      <w:proofErr w:type="gramStart"/>
      <w:r w:rsidR="004F5267" w:rsidRPr="004F5267">
        <w:rPr>
          <w:lang w:val="en-US"/>
        </w:rPr>
        <w:t>are shown</w:t>
      </w:r>
      <w:proofErr w:type="gramEnd"/>
      <w:r w:rsidR="004F5267" w:rsidRPr="004F5267">
        <w:rPr>
          <w:lang w:val="en-US"/>
        </w:rPr>
        <w:t xml:space="preserve">. </w:t>
      </w:r>
      <w:r w:rsidR="004F5267">
        <w:rPr>
          <w:b/>
          <w:lang w:val="en-US"/>
        </w:rPr>
        <w:t xml:space="preserve">B </w:t>
      </w:r>
      <w:r w:rsidR="005E6FEA">
        <w:rPr>
          <w:lang w:val="en-US"/>
        </w:rPr>
        <w:t xml:space="preserve">Analysis of </w:t>
      </w:r>
      <w:r w:rsidR="005E6FEA" w:rsidRPr="005E6FEA">
        <w:rPr>
          <w:rFonts w:ascii="Calibri" w:hAnsi="Calibri" w:cs="Calibri"/>
          <w:color w:val="000000" w:themeColor="text1"/>
          <w:lang w:val="en-US"/>
        </w:rPr>
        <w:t xml:space="preserve">senescence-associated </w:t>
      </w:r>
      <w:r w:rsidR="005E6FEA" w:rsidRPr="005E6FEA">
        <w:rPr>
          <w:rFonts w:ascii="Calibri" w:hAnsi="Calibri" w:cs="Calibri"/>
          <w:color w:val="000000" w:themeColor="text1"/>
        </w:rPr>
        <w:t>β</w:t>
      </w:r>
      <w:r w:rsidR="005E6FEA" w:rsidRPr="005E6FEA">
        <w:rPr>
          <w:rFonts w:ascii="Calibri" w:hAnsi="Calibri" w:cs="Calibri"/>
          <w:color w:val="000000" w:themeColor="text1"/>
          <w:lang w:val="en-US"/>
        </w:rPr>
        <w:t>-galactosidase activity</w:t>
      </w:r>
      <w:r w:rsidR="005E6FEA">
        <w:rPr>
          <w:rFonts w:ascii="Calibri" w:hAnsi="Calibri" w:cs="Calibri"/>
          <w:color w:val="000000" w:themeColor="text1"/>
          <w:lang w:val="en-US"/>
        </w:rPr>
        <w:t xml:space="preserve"> in </w:t>
      </w:r>
      <w:r w:rsidR="004F5267">
        <w:rPr>
          <w:rFonts w:ascii="Calibri" w:hAnsi="Calibri" w:cs="Calibri"/>
          <w:color w:val="000000" w:themeColor="text1"/>
          <w:lang w:val="en-US"/>
        </w:rPr>
        <w:t>patient and control fibroblasts</w:t>
      </w:r>
      <w:r>
        <w:rPr>
          <w:lang w:val="en-US"/>
        </w:rPr>
        <w:t>, control: green squares, patient: orange dots</w:t>
      </w:r>
      <w:r>
        <w:rPr>
          <w:rFonts w:ascii="Calibri" w:hAnsi="Calibri" w:cs="Calibri"/>
          <w:color w:val="565656"/>
          <w:sz w:val="22"/>
          <w:szCs w:val="22"/>
          <w:lang w:val="en-US"/>
        </w:rPr>
        <w:t>.</w:t>
      </w:r>
    </w:p>
    <w:p w14:paraId="48EE9ABE" w14:textId="04B34311" w:rsidR="005E6FEA" w:rsidRDefault="005E6FEA">
      <w:pPr>
        <w:rPr>
          <w:lang w:val="en-US"/>
        </w:rPr>
      </w:pPr>
    </w:p>
    <w:p w14:paraId="191EABFA" w14:textId="77777777" w:rsidR="000C2C5E" w:rsidRDefault="000C2C5E" w:rsidP="005E6FEA">
      <w:pPr>
        <w:spacing w:line="480" w:lineRule="auto"/>
        <w:jc w:val="both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  <w:lang w:val="en-US"/>
        </w:rPr>
        <w:t xml:space="preserve">Supplementary </w:t>
      </w:r>
      <w:r w:rsidR="005E6FEA" w:rsidRPr="005E6FEA">
        <w:rPr>
          <w:b/>
          <w:bCs/>
          <w:color w:val="000000" w:themeColor="text1"/>
          <w:lang w:val="en-US"/>
        </w:rPr>
        <w:t>Methods</w:t>
      </w:r>
      <w:r w:rsidR="005E6FEA">
        <w:rPr>
          <w:b/>
          <w:bCs/>
          <w:color w:val="000000" w:themeColor="text1"/>
          <w:lang w:val="en-US"/>
        </w:rPr>
        <w:t xml:space="preserve"> </w:t>
      </w:r>
    </w:p>
    <w:p w14:paraId="657E5DB0" w14:textId="3F40197D" w:rsidR="005E6FEA" w:rsidRPr="005E6FEA" w:rsidRDefault="005E6FEA" w:rsidP="005E6FEA">
      <w:pPr>
        <w:spacing w:line="480" w:lineRule="auto"/>
        <w:jc w:val="both"/>
        <w:rPr>
          <w:b/>
          <w:bCs/>
          <w:color w:val="000000" w:themeColor="text1"/>
          <w:lang w:val="en-US"/>
        </w:rPr>
      </w:pPr>
      <w:r>
        <w:rPr>
          <w:rFonts w:ascii="Calibri" w:hAnsi="Calibri" w:cs="Calibri"/>
          <w:b/>
          <w:bCs/>
        </w:rPr>
        <w:t>β</w:t>
      </w:r>
      <w:r w:rsidRPr="00B97EBB">
        <w:rPr>
          <w:rFonts w:ascii="Calibri" w:hAnsi="Calibri" w:cs="Calibri"/>
          <w:b/>
          <w:bCs/>
          <w:lang w:val="en-US"/>
        </w:rPr>
        <w:t>-galactosidase assay</w:t>
      </w:r>
    </w:p>
    <w:p w14:paraId="3DFC82F9" w14:textId="6763C383" w:rsidR="00674EE5" w:rsidRPr="000C2C5E" w:rsidRDefault="00B97EBB" w:rsidP="000C2C5E">
      <w:pPr>
        <w:spacing w:line="480" w:lineRule="auto"/>
        <w:jc w:val="both"/>
        <w:rPr>
          <w:rFonts w:ascii="Calibri" w:hAnsi="Calibri" w:cs="Calibri"/>
          <w:color w:val="000000" w:themeColor="text1"/>
          <w:lang w:val="en-US"/>
        </w:rPr>
      </w:pPr>
      <w:r w:rsidRPr="00B97EBB">
        <w:rPr>
          <w:color w:val="000000" w:themeColor="text1"/>
          <w:lang w:val="en-US"/>
        </w:rPr>
        <w:t xml:space="preserve">Cell lines </w:t>
      </w:r>
      <w:proofErr w:type="gramStart"/>
      <w:r w:rsidRPr="00B97EBB">
        <w:rPr>
          <w:color w:val="000000" w:themeColor="text1"/>
          <w:lang w:val="en-US"/>
        </w:rPr>
        <w:t xml:space="preserve">were </w:t>
      </w:r>
      <w:r w:rsidRPr="005E6FEA">
        <w:rPr>
          <w:color w:val="000000" w:themeColor="text1"/>
          <w:lang w:val="en-US"/>
        </w:rPr>
        <w:t>seeded</w:t>
      </w:r>
      <w:proofErr w:type="gramEnd"/>
      <w:r w:rsidRPr="005E6FEA">
        <w:rPr>
          <w:color w:val="000000" w:themeColor="text1"/>
          <w:lang w:val="en-US"/>
        </w:rPr>
        <w:t xml:space="preserve"> in 6</w:t>
      </w:r>
      <w:r w:rsidR="00DE051B" w:rsidRPr="005E6FEA">
        <w:rPr>
          <w:color w:val="000000" w:themeColor="text1"/>
          <w:lang w:val="en-US"/>
        </w:rPr>
        <w:t xml:space="preserve">-well plates </w:t>
      </w:r>
      <w:r w:rsidRPr="00B97EBB">
        <w:rPr>
          <w:color w:val="000000" w:themeColor="text1"/>
          <w:lang w:val="en-US"/>
        </w:rPr>
        <w:t xml:space="preserve">at densities of </w:t>
      </w:r>
      <w:r w:rsidR="00DE051B" w:rsidRPr="005E6FEA">
        <w:rPr>
          <w:color w:val="000000" w:themeColor="text1"/>
          <w:lang w:val="en-US"/>
        </w:rPr>
        <w:t>10</w:t>
      </w:r>
      <w:r w:rsidRPr="00B97EBB">
        <w:rPr>
          <w:color w:val="000000" w:themeColor="text1"/>
          <w:lang w:val="en-US"/>
        </w:rPr>
        <w:t xml:space="preserve">000 cells/well. 24 h later, cells were 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either untreated or treated for 1 h with 150 </w:t>
      </w:r>
      <w:r w:rsidR="00DE051B" w:rsidRPr="005E6FEA">
        <w:rPr>
          <w:rFonts w:ascii="Calibri" w:hAnsi="Calibri" w:cs="Calibri"/>
          <w:color w:val="000000" w:themeColor="text1"/>
        </w:rPr>
        <w:t>μ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>M H</w:t>
      </w:r>
      <w:r w:rsidR="00DE051B" w:rsidRPr="005E6FEA">
        <w:rPr>
          <w:rFonts w:ascii="Calibri" w:hAnsi="Calibri" w:cs="Calibri"/>
          <w:color w:val="000000" w:themeColor="text1"/>
          <w:position w:val="-2"/>
          <w:sz w:val="16"/>
          <w:szCs w:val="16"/>
          <w:lang w:val="en-US"/>
        </w:rPr>
        <w:t>2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>O</w:t>
      </w:r>
      <w:r w:rsidR="00DE051B" w:rsidRPr="005E6FEA">
        <w:rPr>
          <w:rFonts w:ascii="Calibri" w:hAnsi="Calibri" w:cs="Calibri"/>
          <w:color w:val="000000" w:themeColor="text1"/>
          <w:position w:val="-2"/>
          <w:sz w:val="16"/>
          <w:szCs w:val="16"/>
          <w:lang w:val="en-US"/>
        </w:rPr>
        <w:t>2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. After incubation, cells </w:t>
      </w:r>
      <w:proofErr w:type="gramStart"/>
      <w:r w:rsidR="00DE051B" w:rsidRPr="005E6FEA">
        <w:rPr>
          <w:rFonts w:ascii="Calibri" w:hAnsi="Calibri" w:cs="Calibri"/>
          <w:color w:val="000000" w:themeColor="text1"/>
          <w:lang w:val="en-US"/>
        </w:rPr>
        <w:t>were washed</w:t>
      </w:r>
      <w:proofErr w:type="gramEnd"/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 with PBS and cultured 23 h in proliferation medium. </w:t>
      </w:r>
      <w:r w:rsidR="00DE051B" w:rsidRPr="005E6FEA">
        <w:rPr>
          <w:rFonts w:ascii="Calibri" w:hAnsi="Calibri" w:cs="Calibri"/>
          <w:color w:val="000000" w:themeColor="text1"/>
        </w:rPr>
        <w:t>β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-galactosidase activity was measured using the </w:t>
      </w:r>
      <w:r w:rsidR="00674EE5" w:rsidRPr="005E6FEA">
        <w:rPr>
          <w:rFonts w:ascii="Calibri" w:hAnsi="Calibri" w:cs="Calibri"/>
          <w:color w:val="000000" w:themeColor="text1"/>
          <w:lang w:val="en-US"/>
        </w:rPr>
        <w:t xml:space="preserve">senescence </w:t>
      </w:r>
      <w:r w:rsidR="00674EE5" w:rsidRPr="005E6FEA">
        <w:rPr>
          <w:rFonts w:ascii="Calibri" w:hAnsi="Calibri" w:cs="Calibri"/>
          <w:color w:val="000000" w:themeColor="text1"/>
        </w:rPr>
        <w:t>β</w:t>
      </w:r>
      <w:r w:rsidR="00674EE5" w:rsidRPr="005E6FEA">
        <w:rPr>
          <w:rFonts w:ascii="Calibri" w:hAnsi="Calibri" w:cs="Calibri"/>
          <w:color w:val="000000" w:themeColor="text1"/>
          <w:lang w:val="en-US"/>
        </w:rPr>
        <w:t>-Galactosidase staining kit (Cell Signaling Technology, USA)</w:t>
      </w:r>
      <w:r w:rsidR="005E6FEA">
        <w:rPr>
          <w:rFonts w:ascii="Calibri" w:hAnsi="Calibri" w:cs="Calibri"/>
          <w:color w:val="000000" w:themeColor="text1"/>
          <w:lang w:val="en-US"/>
        </w:rPr>
        <w:t xml:space="preserve"> </w:t>
      </w:r>
      <w:r w:rsidR="005E6FEA" w:rsidRPr="00B97EBB">
        <w:rPr>
          <w:rFonts w:ascii="Calibri" w:hAnsi="Calibri" w:cs="Calibri"/>
          <w:lang w:val="en-US"/>
        </w:rPr>
        <w:t>according to manufacturer’s protocol</w:t>
      </w:r>
      <w:r w:rsidR="00674EE5" w:rsidRPr="005E6FEA">
        <w:rPr>
          <w:rFonts w:ascii="Calibri" w:hAnsi="Calibri" w:cs="Calibri"/>
          <w:color w:val="000000" w:themeColor="text1"/>
          <w:lang w:val="en-US"/>
        </w:rPr>
        <w:t xml:space="preserve">, and 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senescence-associated </w:t>
      </w:r>
      <w:r w:rsidR="00DE051B" w:rsidRPr="005E6FEA">
        <w:rPr>
          <w:rFonts w:ascii="Calibri" w:hAnsi="Calibri" w:cs="Calibri"/>
          <w:color w:val="000000" w:themeColor="text1"/>
        </w:rPr>
        <w:t>β</w:t>
      </w:r>
      <w:r w:rsidR="00DE051B" w:rsidRPr="005E6FEA">
        <w:rPr>
          <w:rFonts w:ascii="Calibri" w:hAnsi="Calibri" w:cs="Calibri"/>
          <w:color w:val="000000" w:themeColor="text1"/>
          <w:lang w:val="en-US"/>
        </w:rPr>
        <w:t xml:space="preserve">-galactosidase activity was determined by counting cells in randomly chosen parts of the wells under a bright-field </w:t>
      </w:r>
      <w:proofErr w:type="gramStart"/>
      <w:r w:rsidR="00DE051B" w:rsidRPr="005E6FEA">
        <w:rPr>
          <w:rFonts w:ascii="Calibri" w:hAnsi="Calibri" w:cs="Calibri"/>
          <w:color w:val="000000" w:themeColor="text1"/>
          <w:lang w:val="en-US"/>
        </w:rPr>
        <w:t>microscope</w:t>
      </w:r>
      <w:proofErr w:type="gramEnd"/>
      <w:r w:rsidR="00DE051B" w:rsidRPr="005E6FEA">
        <w:rPr>
          <w:rFonts w:ascii="Calibri" w:hAnsi="Calibri" w:cs="Calibri"/>
          <w:color w:val="000000" w:themeColor="text1"/>
          <w:lang w:val="en-US"/>
        </w:rPr>
        <w:t>.</w:t>
      </w:r>
    </w:p>
    <w:sectPr w:rsidR="00674EE5" w:rsidRPr="000C2C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BB"/>
    <w:rsid w:val="000C2C5E"/>
    <w:rsid w:val="00141C4A"/>
    <w:rsid w:val="00421A86"/>
    <w:rsid w:val="004F5267"/>
    <w:rsid w:val="00586022"/>
    <w:rsid w:val="005E6FEA"/>
    <w:rsid w:val="00674EE5"/>
    <w:rsid w:val="006B0A30"/>
    <w:rsid w:val="00870B1C"/>
    <w:rsid w:val="008E09E1"/>
    <w:rsid w:val="009646F4"/>
    <w:rsid w:val="009C70F3"/>
    <w:rsid w:val="00AE52AA"/>
    <w:rsid w:val="00B97EBB"/>
    <w:rsid w:val="00C52F70"/>
    <w:rsid w:val="00DE051B"/>
    <w:rsid w:val="00E6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B58E"/>
  <w15:docId w15:val="{908039A1-BCD2-4FC8-8260-6C24C81C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74E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97EB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E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2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4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7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4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7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0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0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1058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Schmidt, Julia</cp:lastModifiedBy>
  <cp:revision>2</cp:revision>
  <dcterms:created xsi:type="dcterms:W3CDTF">2021-08-12T11:21:00Z</dcterms:created>
  <dcterms:modified xsi:type="dcterms:W3CDTF">2021-08-12T11:21:00Z</dcterms:modified>
</cp:coreProperties>
</file>