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5E135" w14:textId="0C381326" w:rsidR="004C0D18" w:rsidRDefault="004C0D18" w:rsidP="007F2D83">
      <w:pPr>
        <w:pStyle w:val="Title"/>
      </w:pPr>
      <w:r>
        <w:t>Supplementary methods</w:t>
      </w:r>
    </w:p>
    <w:p w14:paraId="63B6C317" w14:textId="736588FD" w:rsidR="008300FC" w:rsidRPr="008300FC" w:rsidRDefault="008300FC" w:rsidP="008300FC">
      <w:pPr>
        <w:pStyle w:val="Heading1"/>
      </w:pPr>
      <w:r>
        <w:t>Methods</w:t>
      </w:r>
    </w:p>
    <w:p w14:paraId="2B0D61E2" w14:textId="77777777" w:rsidR="004C0D18" w:rsidRDefault="004C0D18" w:rsidP="001B673A">
      <w:pPr>
        <w:pStyle w:val="Heading2"/>
        <w:rPr>
          <w:lang w:val="en-US"/>
        </w:rPr>
      </w:pPr>
      <w:r w:rsidRPr="008300FC">
        <w:rPr>
          <w:lang w:val="en-US"/>
        </w:rPr>
        <w:t xml:space="preserve">The PsyCourse Study </w:t>
      </w:r>
    </w:p>
    <w:p w14:paraId="25DFDBA5" w14:textId="27EB481A" w:rsidR="005267EB" w:rsidRDefault="005267EB" w:rsidP="005267EB">
      <w:pPr>
        <w:spacing w:line="480" w:lineRule="auto"/>
        <w:jc w:val="both"/>
        <w:rPr>
          <w:lang w:val="en-US"/>
        </w:rPr>
      </w:pPr>
      <w:r w:rsidRPr="00F36DC5">
        <w:rPr>
          <w:rFonts w:asciiTheme="majorHAnsi" w:hAnsiTheme="majorHAnsi" w:cstheme="majorBidi"/>
          <w:bCs/>
          <w:lang w:val="en-US"/>
        </w:rPr>
        <w:t>D</w:t>
      </w:r>
      <w:r w:rsidRPr="714959A2">
        <w:rPr>
          <w:lang w:val="en-US"/>
        </w:rPr>
        <w:t xml:space="preserve">ata and samples used for these analyses were obtained from the PsyCourse Study, a longitudinal, multisite, observational transdiagnostic study that was conducted at in Germany and Austria within the frameworks of the Clinical Research Group 241 (KFO241 consortium; www.kfo241.de) and the PsyCourse consortium (www.psycourse.de). The study design has been described in detail elsewhere (PMID: 30070057; https://doi.org/10.5282/ubm/data.199). The official period of data collection was from January 2012 through December 2019. Extensive phenotype data were collected in adult participants (&gt;18 years) at up to four assessments, each about 6 months apart. Participants are either clinical participants with a diagnosis from the affective-to-psychotic spectrum or </w:t>
      </w:r>
      <w:proofErr w:type="spellStart"/>
      <w:r w:rsidRPr="714959A2">
        <w:rPr>
          <w:lang w:val="en-US"/>
        </w:rPr>
        <w:t>neurotypic</w:t>
      </w:r>
      <w:proofErr w:type="spellEnd"/>
      <w:r w:rsidRPr="714959A2">
        <w:rPr>
          <w:lang w:val="en-US"/>
        </w:rPr>
        <w:t xml:space="preserve"> (control) participants. Clinical participants were former and current in- and outpatients of the respective psychiatric clinics at twenty clinical centers. At baseline, diagnoses of clinical participants were made according to DSM-IV. </w:t>
      </w:r>
      <w:proofErr w:type="spellStart"/>
      <w:r w:rsidRPr="714959A2">
        <w:rPr>
          <w:lang w:val="en-US"/>
        </w:rPr>
        <w:t>Neurotypic</w:t>
      </w:r>
      <w:proofErr w:type="spellEnd"/>
      <w:r w:rsidRPr="714959A2">
        <w:rPr>
          <w:lang w:val="en-US"/>
        </w:rPr>
        <w:t xml:space="preserve"> participants were recruited at three clinical centers and screened for lifetime occurrence (hospitalization) of the target diagnoses of the clinical participants. At each visit, blood samples were taken which </w:t>
      </w:r>
      <w:proofErr w:type="gramStart"/>
      <w:r w:rsidRPr="714959A2">
        <w:rPr>
          <w:lang w:val="en-US"/>
        </w:rPr>
        <w:t>allowed</w:t>
      </w:r>
      <w:proofErr w:type="gramEnd"/>
      <w:r w:rsidRPr="714959A2">
        <w:rPr>
          <w:lang w:val="en-US"/>
        </w:rPr>
        <w:t xml:space="preserve"> to obtain the </w:t>
      </w:r>
      <w:proofErr w:type="spellStart"/>
      <w:r w:rsidRPr="714959A2">
        <w:rPr>
          <w:lang w:val="en-US"/>
        </w:rPr>
        <w:t>smallRNAome</w:t>
      </w:r>
      <w:proofErr w:type="spellEnd"/>
      <w:r w:rsidRPr="714959A2">
        <w:rPr>
          <w:lang w:val="en-US"/>
        </w:rPr>
        <w:t xml:space="preserve"> and genotype information used in our study. The study protocol was approved by the respective ethics committee for each study center and was carried out following the rules of the Declaration of Helsinki. All study participants provided written informed consent. </w:t>
      </w:r>
    </w:p>
    <w:p w14:paraId="3D81567D" w14:textId="77777777" w:rsidR="005267EB" w:rsidRPr="005267EB" w:rsidRDefault="005267EB" w:rsidP="005267EB">
      <w:pPr>
        <w:rPr>
          <w:lang w:val="en-US"/>
        </w:rPr>
      </w:pPr>
    </w:p>
    <w:p w14:paraId="66FC9E1A" w14:textId="18AEA6F3" w:rsidR="000F4663" w:rsidRPr="000F4663" w:rsidRDefault="000F4663" w:rsidP="001B673A">
      <w:pPr>
        <w:pStyle w:val="Heading2"/>
        <w:rPr>
          <w:b w:val="0"/>
          <w:lang w:val="en-US"/>
        </w:rPr>
      </w:pPr>
      <w:r w:rsidRPr="000F4663">
        <w:rPr>
          <w:lang w:val="en-US"/>
        </w:rPr>
        <w:t>Broad Diagnosis Group Classification</w:t>
      </w:r>
    </w:p>
    <w:p w14:paraId="3B3B5000" w14:textId="77777777" w:rsidR="00686E11" w:rsidRPr="00686E11" w:rsidRDefault="000F4663" w:rsidP="00686E11">
      <w:pPr>
        <w:spacing w:line="480" w:lineRule="auto"/>
        <w:jc w:val="both"/>
        <w:rPr>
          <w:lang w:val="en-US"/>
        </w:rPr>
      </w:pPr>
      <w:r>
        <w:rPr>
          <w:lang w:val="en-US"/>
        </w:rPr>
        <w:t>Broad diagnos</w:t>
      </w:r>
      <w:r w:rsidR="00F36DC5">
        <w:rPr>
          <w:lang w:val="en-US"/>
        </w:rPr>
        <w:t xml:space="preserve">tic </w:t>
      </w:r>
      <w:r>
        <w:rPr>
          <w:lang w:val="en-US"/>
        </w:rPr>
        <w:t xml:space="preserve">groups were defined </w:t>
      </w:r>
      <w:r w:rsidR="00B40BA8">
        <w:rPr>
          <w:lang w:val="en-US"/>
        </w:rPr>
        <w:t>using the</w:t>
      </w:r>
      <w:r w:rsidR="00E75C5B">
        <w:rPr>
          <w:lang w:val="en-US"/>
        </w:rPr>
        <w:t xml:space="preserve"> DSM-IV diagnoses obtained at</w:t>
      </w:r>
      <w:r w:rsidR="00515D0F">
        <w:rPr>
          <w:lang w:val="en-US"/>
        </w:rPr>
        <w:t xml:space="preserve"> the first visit of the</w:t>
      </w:r>
      <w:r w:rsidR="00B40BA8">
        <w:rPr>
          <w:lang w:val="en-US"/>
        </w:rPr>
        <w:t xml:space="preserve"> PsyCourse </w:t>
      </w:r>
      <w:r w:rsidR="00515D0F">
        <w:rPr>
          <w:lang w:val="en-US"/>
        </w:rPr>
        <w:t>Study</w:t>
      </w:r>
      <w:r w:rsidR="00B40BA8">
        <w:rPr>
          <w:lang w:val="en-US"/>
        </w:rPr>
        <w:t xml:space="preserve">. In total, we defined 3 groups, including </w:t>
      </w:r>
      <w:r w:rsidR="00F455B1">
        <w:rPr>
          <w:lang w:val="en-US"/>
        </w:rPr>
        <w:t xml:space="preserve">a control group (CTL) composed of </w:t>
      </w:r>
      <w:proofErr w:type="spellStart"/>
      <w:r w:rsidR="00F455B1">
        <w:rPr>
          <w:lang w:val="en-US"/>
        </w:rPr>
        <w:t>neurotypic</w:t>
      </w:r>
      <w:proofErr w:type="spellEnd"/>
      <w:r w:rsidR="00F455B1">
        <w:rPr>
          <w:lang w:val="en-US"/>
        </w:rPr>
        <w:t xml:space="preserve"> participants, a psychotic group (PSY) composed of participants diagnosed </w:t>
      </w:r>
      <w:r w:rsidR="003C3530">
        <w:rPr>
          <w:lang w:val="en-US"/>
        </w:rPr>
        <w:t xml:space="preserve">of </w:t>
      </w:r>
      <w:r w:rsidR="003C3530">
        <w:rPr>
          <w:lang w:val="en-US"/>
        </w:rPr>
        <w:lastRenderedPageBreak/>
        <w:t xml:space="preserve">schizophrenia (SCZ) or </w:t>
      </w:r>
      <w:proofErr w:type="spellStart"/>
      <w:r w:rsidR="003C3530">
        <w:rPr>
          <w:lang w:val="en-US"/>
        </w:rPr>
        <w:t>schizo</w:t>
      </w:r>
      <w:proofErr w:type="spellEnd"/>
      <w:r w:rsidR="003C3530">
        <w:rPr>
          <w:lang w:val="en-US"/>
        </w:rPr>
        <w:t xml:space="preserve">-affective disorder (SCZA), the last affective group (AFF) was composed of participants with bipolar disorder (BD) I or II and participants with </w:t>
      </w:r>
      <w:r w:rsidR="00515D0F">
        <w:rPr>
          <w:lang w:val="en-US"/>
        </w:rPr>
        <w:t xml:space="preserve">recurrent </w:t>
      </w:r>
      <w:r w:rsidR="003C3530">
        <w:rPr>
          <w:lang w:val="en-US"/>
        </w:rPr>
        <w:t>major depressive disorder (MDD).</w:t>
      </w:r>
      <w:r w:rsidR="00326626">
        <w:rPr>
          <w:lang w:val="en-US"/>
        </w:rPr>
        <w:t xml:space="preserve"> Informed consent was obtained from all participants. </w:t>
      </w:r>
      <w:r w:rsidR="00686E11" w:rsidRPr="00686E11">
        <w:rPr>
          <w:lang w:val="en-US"/>
        </w:rPr>
        <w:t xml:space="preserve">Initially, the project was approved by the Ethics Committee of the University Medical Center </w:t>
      </w:r>
      <w:proofErr w:type="spellStart"/>
      <w:r w:rsidR="00686E11" w:rsidRPr="00686E11">
        <w:rPr>
          <w:lang w:val="en-US"/>
        </w:rPr>
        <w:t>Goettingen</w:t>
      </w:r>
      <w:proofErr w:type="spellEnd"/>
      <w:r w:rsidR="00686E11" w:rsidRPr="00686E11">
        <w:rPr>
          <w:lang w:val="en-US"/>
        </w:rPr>
        <w:t xml:space="preserve">. Some clinical centers were teaching hospitals of the University Medical Center </w:t>
      </w:r>
      <w:proofErr w:type="spellStart"/>
      <w:r w:rsidR="00686E11" w:rsidRPr="00686E11">
        <w:rPr>
          <w:lang w:val="en-US"/>
        </w:rPr>
        <w:t>Goettingen</w:t>
      </w:r>
      <w:proofErr w:type="spellEnd"/>
      <w:r w:rsidR="00686E11" w:rsidRPr="00686E11">
        <w:rPr>
          <w:lang w:val="en-US"/>
        </w:rPr>
        <w:t xml:space="preserve">, and were thus covered by this initial approval. For those clinical sites that were not covered, we obtained additional approval from the respective Ethics Committees. For all centers, these were (clinical centers, project identification codes and dates of approval in brackets): Ethics Committees of the University Medical Center </w:t>
      </w:r>
      <w:proofErr w:type="spellStart"/>
      <w:r w:rsidR="00686E11" w:rsidRPr="00686E11">
        <w:rPr>
          <w:lang w:val="en-US"/>
        </w:rPr>
        <w:t>Goettingen</w:t>
      </w:r>
      <w:proofErr w:type="spellEnd"/>
      <w:r w:rsidR="00686E11" w:rsidRPr="00686E11">
        <w:rPr>
          <w:lang w:val="en-US"/>
        </w:rPr>
        <w:t xml:space="preserve"> (UMG </w:t>
      </w:r>
      <w:proofErr w:type="spellStart"/>
      <w:r w:rsidR="00686E11" w:rsidRPr="00686E11">
        <w:rPr>
          <w:lang w:val="en-US"/>
        </w:rPr>
        <w:t>Goettingen</w:t>
      </w:r>
      <w:proofErr w:type="spellEnd"/>
      <w:r w:rsidR="00686E11" w:rsidRPr="00686E11">
        <w:rPr>
          <w:lang w:val="en-US"/>
        </w:rPr>
        <w:t xml:space="preserve">, Bad </w:t>
      </w:r>
      <w:proofErr w:type="spellStart"/>
      <w:r w:rsidR="00686E11" w:rsidRPr="00686E11">
        <w:rPr>
          <w:lang w:val="en-US"/>
        </w:rPr>
        <w:t>Zwischenahn</w:t>
      </w:r>
      <w:proofErr w:type="spellEnd"/>
      <w:r w:rsidR="00686E11" w:rsidRPr="00686E11">
        <w:rPr>
          <w:lang w:val="en-US"/>
        </w:rPr>
        <w:t xml:space="preserve">, </w:t>
      </w:r>
      <w:proofErr w:type="spellStart"/>
      <w:r w:rsidR="00686E11" w:rsidRPr="00686E11">
        <w:rPr>
          <w:lang w:val="en-US"/>
        </w:rPr>
        <w:t>Eschwege</w:t>
      </w:r>
      <w:proofErr w:type="spellEnd"/>
      <w:r w:rsidR="00686E11" w:rsidRPr="00686E11">
        <w:rPr>
          <w:lang w:val="en-US"/>
        </w:rPr>
        <w:t xml:space="preserve">, Asklepios Specialized Hospital </w:t>
      </w:r>
      <w:proofErr w:type="spellStart"/>
      <w:r w:rsidR="00686E11" w:rsidRPr="00686E11">
        <w:rPr>
          <w:lang w:val="en-US"/>
        </w:rPr>
        <w:t>Goettingen</w:t>
      </w:r>
      <w:proofErr w:type="spellEnd"/>
      <w:r w:rsidR="00686E11" w:rsidRPr="00686E11">
        <w:rPr>
          <w:lang w:val="en-US"/>
        </w:rPr>
        <w:t xml:space="preserve">, Hildesheim, </w:t>
      </w:r>
      <w:proofErr w:type="spellStart"/>
      <w:r w:rsidR="00686E11" w:rsidRPr="00686E11">
        <w:rPr>
          <w:lang w:val="en-US"/>
        </w:rPr>
        <w:t>Lüneburg</w:t>
      </w:r>
      <w:proofErr w:type="spellEnd"/>
      <w:r w:rsidR="00686E11" w:rsidRPr="00686E11">
        <w:rPr>
          <w:lang w:val="en-US"/>
        </w:rPr>
        <w:t xml:space="preserve">, </w:t>
      </w:r>
      <w:proofErr w:type="spellStart"/>
      <w:r w:rsidR="00686E11" w:rsidRPr="00686E11">
        <w:rPr>
          <w:lang w:val="en-US"/>
        </w:rPr>
        <w:t>Liebenburg</w:t>
      </w:r>
      <w:proofErr w:type="spellEnd"/>
      <w:r w:rsidR="00686E11" w:rsidRPr="00686E11">
        <w:rPr>
          <w:lang w:val="en-US"/>
        </w:rPr>
        <w:t xml:space="preserve">, Osnabrück, </w:t>
      </w:r>
      <w:proofErr w:type="spellStart"/>
      <w:r w:rsidR="00686E11" w:rsidRPr="00686E11">
        <w:rPr>
          <w:lang w:val="en-US"/>
        </w:rPr>
        <w:t>Rotenburg</w:t>
      </w:r>
      <w:proofErr w:type="spellEnd"/>
      <w:r w:rsidR="00686E11" w:rsidRPr="00686E11">
        <w:rPr>
          <w:lang w:val="en-US"/>
        </w:rPr>
        <w:t xml:space="preserve">, </w:t>
      </w:r>
      <w:proofErr w:type="spellStart"/>
      <w:r w:rsidR="00686E11" w:rsidRPr="00686E11">
        <w:rPr>
          <w:lang w:val="en-US"/>
        </w:rPr>
        <w:t>Tiefenbrunn</w:t>
      </w:r>
      <w:proofErr w:type="spellEnd"/>
      <w:r w:rsidR="00686E11" w:rsidRPr="00686E11">
        <w:rPr>
          <w:lang w:val="en-US"/>
        </w:rPr>
        <w:t xml:space="preserve">, </w:t>
      </w:r>
      <w:proofErr w:type="spellStart"/>
      <w:r w:rsidR="00686E11" w:rsidRPr="00686E11">
        <w:rPr>
          <w:lang w:val="en-US"/>
        </w:rPr>
        <w:t>Wilhemshaven</w:t>
      </w:r>
      <w:proofErr w:type="spellEnd"/>
      <w:r w:rsidR="00686E11" w:rsidRPr="00686E11">
        <w:rPr>
          <w:lang w:val="en-US"/>
        </w:rPr>
        <w:t>; 23/9/10; 3</w:t>
      </w:r>
      <w:r w:rsidR="00686E11" w:rsidRPr="00686E11">
        <w:rPr>
          <w:vertAlign w:val="superscript"/>
          <w:lang w:val="en-US"/>
        </w:rPr>
        <w:t>rd</w:t>
      </w:r>
      <w:r w:rsidR="00686E11" w:rsidRPr="00686E11">
        <w:rPr>
          <w:lang w:val="en-US"/>
        </w:rPr>
        <w:t xml:space="preserve"> of December 2010), Medical Faculty of the LMU Munich (Munich and Augsburg; 17-13; 25</w:t>
      </w:r>
      <w:r w:rsidR="00686E11" w:rsidRPr="00686E11">
        <w:rPr>
          <w:vertAlign w:val="superscript"/>
          <w:lang w:val="en-US"/>
        </w:rPr>
        <w:t>th</w:t>
      </w:r>
      <w:r w:rsidR="00686E11" w:rsidRPr="00686E11">
        <w:rPr>
          <w:lang w:val="en-US"/>
        </w:rPr>
        <w:t xml:space="preserve"> of February 2013), Medical Faculty of the RU Bochum (Bochum; 4644-13; 18</w:t>
      </w:r>
      <w:r w:rsidR="00686E11" w:rsidRPr="00686E11">
        <w:rPr>
          <w:vertAlign w:val="superscript"/>
          <w:lang w:val="en-US"/>
        </w:rPr>
        <w:t>th</w:t>
      </w:r>
      <w:r w:rsidR="00686E11" w:rsidRPr="00686E11">
        <w:rPr>
          <w:lang w:val="en-US"/>
        </w:rPr>
        <w:t xml:space="preserve"> of June 2013), Medical Association Bremen (Bremen Ost; 337; 20</w:t>
      </w:r>
      <w:r w:rsidR="00686E11" w:rsidRPr="00686E11">
        <w:rPr>
          <w:vertAlign w:val="superscript"/>
          <w:lang w:val="en-US"/>
        </w:rPr>
        <w:t>th</w:t>
      </w:r>
      <w:r w:rsidR="00686E11" w:rsidRPr="00686E11">
        <w:rPr>
          <w:lang w:val="en-US"/>
        </w:rPr>
        <w:t xml:space="preserve"> of April 2012), Medical University of Graz (Graz; 25-335 ex 12/13; 13</w:t>
      </w:r>
      <w:r w:rsidR="00686E11" w:rsidRPr="00686E11">
        <w:rPr>
          <w:vertAlign w:val="superscript"/>
          <w:lang w:val="en-US"/>
        </w:rPr>
        <w:t>th</w:t>
      </w:r>
      <w:r w:rsidR="00686E11" w:rsidRPr="00686E11">
        <w:rPr>
          <w:lang w:val="en-US"/>
        </w:rPr>
        <w:t xml:space="preserve"> of June 2013), Ulm University (Günzburg; 236/12; 10</w:t>
      </w:r>
      <w:r w:rsidR="00686E11" w:rsidRPr="00686E11">
        <w:rPr>
          <w:vertAlign w:val="superscript"/>
          <w:lang w:val="en-US"/>
        </w:rPr>
        <w:t>th</w:t>
      </w:r>
      <w:r w:rsidR="00686E11" w:rsidRPr="00686E11">
        <w:rPr>
          <w:lang w:val="en-US"/>
        </w:rPr>
        <w:t xml:space="preserve"> of September 2012) and Medical Association Westfalen-Lippe and Medical Faculty University of Münster (Münster; 2015-011-b-S; 20</w:t>
      </w:r>
      <w:r w:rsidR="00686E11" w:rsidRPr="00686E11">
        <w:rPr>
          <w:vertAlign w:val="superscript"/>
          <w:lang w:val="en-US"/>
        </w:rPr>
        <w:t>th</w:t>
      </w:r>
      <w:r w:rsidR="00686E11" w:rsidRPr="00686E11">
        <w:rPr>
          <w:lang w:val="en-US"/>
        </w:rPr>
        <w:t xml:space="preserve"> of January 2015), Medical Faculty of the University of Tübingen (Tübingen; 096/2013BO1; 19</w:t>
      </w:r>
      <w:r w:rsidR="00686E11" w:rsidRPr="00686E11">
        <w:rPr>
          <w:vertAlign w:val="superscript"/>
          <w:lang w:val="en-US"/>
        </w:rPr>
        <w:t>th</w:t>
      </w:r>
      <w:r w:rsidR="00686E11" w:rsidRPr="00686E11">
        <w:rPr>
          <w:lang w:val="en-US"/>
        </w:rPr>
        <w:t xml:space="preserve"> of June 2013).</w:t>
      </w:r>
    </w:p>
    <w:p w14:paraId="726DB7BD" w14:textId="6D78E6C4" w:rsidR="000F4663" w:rsidRDefault="000F4663" w:rsidP="004C0D18">
      <w:pPr>
        <w:spacing w:line="480" w:lineRule="auto"/>
        <w:jc w:val="both"/>
        <w:rPr>
          <w:lang w:val="en-US"/>
        </w:rPr>
      </w:pPr>
    </w:p>
    <w:p w14:paraId="728F2B7A" w14:textId="77777777" w:rsidR="004C0D18" w:rsidRPr="00671EDE" w:rsidRDefault="004C0D18" w:rsidP="001B673A">
      <w:pPr>
        <w:pStyle w:val="Heading2"/>
        <w:rPr>
          <w:b w:val="0"/>
        </w:rPr>
      </w:pPr>
      <w:r w:rsidRPr="52DB6AAE">
        <w:t xml:space="preserve">Genotyping and imputation </w:t>
      </w:r>
    </w:p>
    <w:p w14:paraId="7983DCA8" w14:textId="1DCCB639" w:rsidR="004C0D18" w:rsidRPr="008300FC" w:rsidRDefault="004C0D18" w:rsidP="004C0D18">
      <w:pPr>
        <w:spacing w:line="480" w:lineRule="auto"/>
        <w:jc w:val="both"/>
        <w:rPr>
          <w:rFonts w:cstheme="majorBidi"/>
          <w:lang w:val="en-US"/>
        </w:rPr>
      </w:pPr>
      <w:r w:rsidRPr="008300FC">
        <w:rPr>
          <w:rFonts w:cstheme="majorBidi"/>
          <w:lang w:val="en-US"/>
        </w:rPr>
        <w:t xml:space="preserve">Individuals were genotyped using the Illumina Infinium Global Screening Array-24 Kit (GSA Array, version 1 and 3; Illumina, San Diego, CA). Quality Control (QC) of genotype data was conducted in PLINK v1.90b6.16 or higher (https://www.cog-genomics.org/plink/). Briefly, the sequence of these QC steps was: Removal of SNPs with call rates &lt;98% or a minor allele frequency (MAF) &lt;0.5%, removal of individuals with genotyping rates &lt;98%, identification and exclusion of duplicate and related samples, identification and exclusion of population ancestry outliers, identification and exclusion of individuals with excess heterozygosity, exclusion of sex </w:t>
      </w:r>
      <w:r w:rsidRPr="008300FC">
        <w:rPr>
          <w:rFonts w:cstheme="majorBidi"/>
          <w:lang w:val="en-US"/>
        </w:rPr>
        <w:lastRenderedPageBreak/>
        <w:t>chromosomes, identification and exclusion of SNPs not fulfilling the Hardy-Weinberg equilibrium criterion and the required minimum MAF (&lt;1%), removal of palindromic SNPs, removal of SNPs with a large deviation (&gt;10%) from the expected frequency in European reference populations (1000 Genomes Project). These steps included the calculation of ancestry multi-dimensional scaling (MDS) components. After these steps, the full dataset contained 1,600 individuals and 428,907 SNPs. Subsequently, data were imputed using the Michigan Imputation Server (imputationserver.sph.umich.edu)</w:t>
      </w:r>
      <w:r w:rsidR="004B5F05">
        <w:rPr>
          <w:rFonts w:cstheme="majorBidi"/>
          <w:lang w:val="en-US"/>
        </w:rPr>
        <w:fldChar w:fldCharType="begin"/>
      </w:r>
      <w:r w:rsidR="004B5F05">
        <w:rPr>
          <w:rFonts w:cstheme="majorBidi"/>
          <w:lang w:val="en-US"/>
        </w:rPr>
        <w:instrText xml:space="preserve"> ADDIN ZOTERO_ITEM CSL_CITATION {"citationID":"q1hImKNF","properties":{"formattedCitation":"\\super 1\\nosupersub{}","plainCitation":"1","noteIndex":0},"citationItems":[{"id":750,"uris":["http://zotero.org/users/11797823/items/FL9SE9V6"],"itemData":{"id":750,"type":"article-journal","container-title":"Nature Genetics","DOI":"10.1038/ng.3656","ISSN":"1061-4036, 1546-1718","issue":"10","journalAbbreviation":"Nat Genet","language":"en","page":"1284-1287","source":"DOI.org (Crossref)","title":"Next-generation genotype imputation service and methods","volume":"48","author":[{"family":"Das","given":"Sayantan"},{"family":"Forer","given":"Lukas"},{"family":"Schönherr","given":"Sebastian"},{"family":"Sidore","given":"Carlo"},{"family":"Locke","given":"Adam E"},{"family":"Kwong","given":"Alan"},{"family":"Vrieze","given":"Scott I"},{"family":"Chew","given":"Emily Y"},{"family":"Levy","given":"Shawn"},{"family":"McGue","given":"Matt"},{"family":"Schlessinger","given":"David"},{"family":"Stambolian","given":"Dwight"},{"family":"Loh","given":"Po-Ru"},{"family":"Iacono","given":"William G"},{"family":"Swaroop","given":"Anand"},{"family":"Scott","given":"Laura J"},{"family":"Cucca","given":"Francesco"},{"family":"Kronenberg","given":"Florian"},{"family":"Boehnke","given":"Michael"},{"family":"Abecasis","given":"Gonçalo R"},{"family":"Fuchsberger","given":"Christian"}],"issued":{"date-parts":[["2016",10]]},"citation-key":"dasNextgenerationGenotypeImputation2016"}}],"schema":"https://github.com/citation-style-language/schema/raw/master/csl-citation.json"} </w:instrText>
      </w:r>
      <w:r w:rsidR="004B5F05">
        <w:rPr>
          <w:rFonts w:cstheme="majorBidi"/>
          <w:lang w:val="en-US"/>
        </w:rPr>
        <w:fldChar w:fldCharType="separate"/>
      </w:r>
      <w:r w:rsidR="004B5F05" w:rsidRPr="004B5F05">
        <w:rPr>
          <w:rFonts w:ascii="Aptos" w:hAnsi="Aptos" w:cs="Times New Roman"/>
          <w:kern w:val="0"/>
          <w:vertAlign w:val="superscript"/>
        </w:rPr>
        <w:t>1</w:t>
      </w:r>
      <w:r w:rsidR="004B5F05">
        <w:rPr>
          <w:rFonts w:cstheme="majorBidi"/>
          <w:lang w:val="en-US"/>
        </w:rPr>
        <w:fldChar w:fldCharType="end"/>
      </w:r>
      <w:r w:rsidRPr="008300FC">
        <w:rPr>
          <w:rFonts w:cstheme="majorBidi"/>
          <w:lang w:val="en-US"/>
        </w:rPr>
        <w:t>, after comparing allele frequencies in the Haplotype Reference Consortium (HRC) reference panel to identify and remove genetic variants with an outstanding difference in frequency (&gt;20%), or not matching the HRC panel regarding position or alleles. The final imputed dataset contained N=1,600 individuals and 7,712,287 SNPs. The post-imputation reference genome used was that of the Haplotype Reference Consortium (version r1.1 2016) (hg19)</w:t>
      </w:r>
      <w:r w:rsidR="00614CF6">
        <w:rPr>
          <w:rFonts w:cstheme="majorBidi"/>
          <w:lang w:val="en-US"/>
        </w:rPr>
        <w:fldChar w:fldCharType="begin"/>
      </w:r>
      <w:r w:rsidR="00614CF6">
        <w:rPr>
          <w:rFonts w:cstheme="majorBidi"/>
          <w:lang w:val="en-US"/>
        </w:rPr>
        <w:instrText xml:space="preserve"> ADDIN ZOTERO_ITEM CSL_CITATION {"citationID":"pZyjNfSP","properties":{"formattedCitation":"\\super 2\\nosupersub{}","plainCitation":"2","noteIndex":0},"citationItems":[{"id":752,"uris":["http://zotero.org/users/11797823/items/5C9M9CBF"],"itemData":{"id":752,"type":"article-journal","container-title":"Nature Genetics","DOI":"10.1038/ng.3643","ISSN":"1061-4036, 1546-1718","issue":"10","journalAbbreviation":"Nat Genet","language":"en","page":"1279-1283","source":"DOI.org (Crossref)","title":"A reference panel of 64,976 haplotypes for genotype imputation","volume":"48","author":[{"literal":"the Haplotype Reference Consortium"}],"issued":{"date-parts":[["2016",10]]},"citation-key":"thehaplotypereferenceconsortiumReferencePanel642016"}}],"schema":"https://github.com/citation-style-language/schema/raw/master/csl-citation.json"} </w:instrText>
      </w:r>
      <w:r w:rsidR="00614CF6">
        <w:rPr>
          <w:rFonts w:cstheme="majorBidi"/>
          <w:lang w:val="en-US"/>
        </w:rPr>
        <w:fldChar w:fldCharType="separate"/>
      </w:r>
      <w:r w:rsidR="00614CF6" w:rsidRPr="00614CF6">
        <w:rPr>
          <w:rFonts w:ascii="Aptos" w:hAnsi="Aptos" w:cs="Times New Roman"/>
          <w:kern w:val="0"/>
          <w:vertAlign w:val="superscript"/>
        </w:rPr>
        <w:t>2</w:t>
      </w:r>
      <w:r w:rsidR="00614CF6">
        <w:rPr>
          <w:rFonts w:cstheme="majorBidi"/>
          <w:lang w:val="en-US"/>
        </w:rPr>
        <w:fldChar w:fldCharType="end"/>
      </w:r>
      <w:r w:rsidRPr="008300FC">
        <w:rPr>
          <w:rFonts w:cstheme="majorBidi"/>
          <w:lang w:val="en-US"/>
        </w:rPr>
        <w:t xml:space="preserve">. </w:t>
      </w:r>
    </w:p>
    <w:p w14:paraId="52B50441" w14:textId="77777777" w:rsidR="004C0D18" w:rsidRPr="00671EDE" w:rsidRDefault="004C0D18" w:rsidP="001B673A">
      <w:pPr>
        <w:pStyle w:val="Heading2"/>
        <w:rPr>
          <w:b w:val="0"/>
          <w:lang w:val="en-US"/>
        </w:rPr>
      </w:pPr>
      <w:r w:rsidRPr="00671EDE">
        <w:rPr>
          <w:lang w:val="en-US"/>
        </w:rPr>
        <w:t xml:space="preserve">miRNA transcriptome </w:t>
      </w:r>
    </w:p>
    <w:p w14:paraId="057108C2" w14:textId="00BB5C1B" w:rsidR="004C0D18" w:rsidRPr="008300FC" w:rsidRDefault="004C0D18" w:rsidP="004C0D18">
      <w:pPr>
        <w:spacing w:line="480" w:lineRule="auto"/>
        <w:jc w:val="both"/>
        <w:rPr>
          <w:rFonts w:cstheme="majorHAnsi"/>
          <w:lang w:val="en-US"/>
        </w:rPr>
      </w:pPr>
      <w:proofErr w:type="spellStart"/>
      <w:r w:rsidRPr="008300FC">
        <w:rPr>
          <w:rFonts w:cstheme="majorHAnsi"/>
          <w:lang w:val="en-US"/>
        </w:rPr>
        <w:t>SmallRNAs</w:t>
      </w:r>
      <w:proofErr w:type="spellEnd"/>
      <w:r w:rsidRPr="008300FC">
        <w:rPr>
          <w:rFonts w:cstheme="majorHAnsi"/>
          <w:lang w:val="en-US"/>
        </w:rPr>
        <w:t xml:space="preserve"> sequencing of the PsyCourse </w:t>
      </w:r>
      <w:r w:rsidR="00515D0F">
        <w:rPr>
          <w:rFonts w:cstheme="majorHAnsi"/>
          <w:lang w:val="en-US"/>
        </w:rPr>
        <w:t>Study</w:t>
      </w:r>
      <w:r w:rsidR="00515D0F" w:rsidRPr="008300FC">
        <w:rPr>
          <w:rFonts w:cstheme="majorHAnsi"/>
          <w:lang w:val="en-US"/>
        </w:rPr>
        <w:t xml:space="preserve"> </w:t>
      </w:r>
      <w:r w:rsidRPr="008300FC">
        <w:rPr>
          <w:rFonts w:cstheme="majorHAnsi"/>
          <w:lang w:val="en-US"/>
        </w:rPr>
        <w:t xml:space="preserve">has been described previously </w:t>
      </w:r>
      <w:r w:rsidRPr="008300FC">
        <w:rPr>
          <w:rFonts w:cstheme="majorHAnsi"/>
          <w:lang w:val="en-US"/>
        </w:rPr>
        <w:fldChar w:fldCharType="begin"/>
      </w:r>
      <w:r w:rsidR="00614CF6">
        <w:rPr>
          <w:rFonts w:cstheme="majorHAnsi"/>
          <w:lang w:val="en-US"/>
        </w:rPr>
        <w:instrText xml:space="preserve"> ADDIN ZOTERO_ITEM CSL_CITATION {"citationID":"OOrTpAC7","properties":{"formattedCitation":"\\super 3\\nosupersub{}","plainCitation":"3","noteIndex":0},"citationItems":[{"id":709,"uris":["http://zotero.org/users/11797823/items/TGU6B4JG"],"itemData":{"id":709,"type":"report","abstract":"Abstract\n          \n            Schizophrenia is a psychiatric disorder that is still not readily treatable. Pharmaceutical advances in the treatment of schizophrenia have mainly focused on the protein coding part of the human genome. However, the vast majority of the human transcriptome consists of non-coding RNAs. MicroRNAs are small non-coding RNAs that control the transcriptome at the systems level. In the present study we analyzed the microRNAome in blood and postmortem brains of controls and schizophrenia patients and found that miR-99b-5p was downregulated in both the prefrontal cortex and blood of patients. At the mechanistic level we show that inhibition of miR-99b-5p leads to schizophrenia-like phenotypes in mice and induced inflammatory processes in microglia linked to synaptic pruning. The miR-99b-5p-mediated inflammatory response in microglia depended on\n            Z-DNA binding protein 1\n            (\n            Zbp1\n            ) which we identified as a novel miR-99b-5p target. Antisense oligos (ASOs) against\n            Zbp1\n            ameliorated the pathological phenotypes caused by miR-99b-5p inhibition. In conclusion, we report a novel miR-99b-5p-\n            Zbp1\n            pathway in microglia that contributes to the pathogenesis of schizophrenia. Our data suggest that strategies to increase the levels of miR-99b-5p or inhibit\n            Zbp1\n            could become a novel therapeutic strategy.","genre":"preprint","language":"en","note":"DOI: 10.1101/2023.03.21.533602","publisher":"Neuroscience","source":"DOI.org (Crossref)","title":"A novel miR-99b-5p- &lt;i&gt;Zbp1&lt;/i&gt; pathway in microglia contributes to the pathogenesis of schizophrenia","URL":"http://biorxiv.org/lookup/doi/10.1101/2023.03.21.533602","author":[{"family":"Kaurani","given":"Lalit"},{"family":"Islam","given":"Md Rezaul"},{"family":"Heilbronner","given":"Urs"},{"family":"Krüger","given":"Dennis M."},{"family":"Zhou","given":"Jiayin"},{"family":"Methi","given":"Aditi"},{"family":"Strauss","given":"Judith"},{"family":"Pradhan","given":"Ranjit"},{"family":"Burkhardt","given":"Susanne"},{"family":"Pena","given":"Tonatiuh"},{"family":"Erlebach","given":"Lena"},{"family":"Bühler","given":"Anika"},{"family":"Budde","given":"Monika"},{"family":"Senner","given":"Fanny"},{"family":"Kohshour","given":"Mojtaba Oraki"},{"family":"Schulte","given":"Eva C."},{"family":"Schmauß","given":"Max"},{"family":"Reininghaus","given":"Eva Z."},{"family":"Juckel","given":"Georg"},{"family":"Kronenberg-Versteeg","given":"Deborah"},{"family":"Delalle","given":"Ivana"},{"family":"Odoardi","given":"Francesca"},{"family":"Flügel","given":"Alexander"},{"family":"Schulze","given":"Thomas G."},{"family":"Falkai","given":"Peter"},{"family":"Sananbenesi","given":"Farahnaz"},{"family":"Fischer","given":"Andre"}],"accessed":{"date-parts":[["2024",3,19]]},"issued":{"date-parts":[["2023",3,21]]},"citation-key":"kauraniNovelMiR99b5pZbp12023"}}],"schema":"https://github.com/citation-style-language/schema/raw/master/csl-citation.json"} </w:instrText>
      </w:r>
      <w:r w:rsidRPr="008300FC">
        <w:rPr>
          <w:rFonts w:cstheme="majorHAnsi"/>
          <w:lang w:val="en-US"/>
        </w:rPr>
        <w:fldChar w:fldCharType="separate"/>
      </w:r>
      <w:r w:rsidR="00614CF6" w:rsidRPr="00614CF6">
        <w:rPr>
          <w:rFonts w:ascii="Aptos" w:hAnsi="Aptos" w:cs="Times New Roman"/>
          <w:kern w:val="0"/>
          <w:vertAlign w:val="superscript"/>
        </w:rPr>
        <w:t>3</w:t>
      </w:r>
      <w:r w:rsidRPr="008300FC">
        <w:rPr>
          <w:rFonts w:cstheme="majorHAnsi"/>
          <w:lang w:val="en-US"/>
        </w:rPr>
        <w:fldChar w:fldCharType="end"/>
      </w:r>
      <w:r w:rsidRPr="008300FC">
        <w:rPr>
          <w:rFonts w:cstheme="majorHAnsi"/>
          <w:lang w:val="en-US"/>
        </w:rPr>
        <w:t xml:space="preserve">. Briefly, the whole blood samples were collected during the first visit of the PsyCourse Study, the miRNA libraries were prepared using </w:t>
      </w:r>
      <w:proofErr w:type="spellStart"/>
      <w:r w:rsidRPr="008300FC">
        <w:rPr>
          <w:rFonts w:cstheme="majorHAnsi"/>
          <w:lang w:val="en-US"/>
        </w:rPr>
        <w:t>NEBNext</w:t>
      </w:r>
      <w:proofErr w:type="spellEnd"/>
      <w:r w:rsidRPr="008300FC">
        <w:rPr>
          <w:rFonts w:cstheme="majorHAnsi"/>
          <w:lang w:val="en-US"/>
        </w:rPr>
        <w:t xml:space="preserve"> Small RNA library preparation kit (E7330) and sequenced using </w:t>
      </w:r>
      <w:proofErr w:type="spellStart"/>
      <w:r w:rsidRPr="008300FC">
        <w:rPr>
          <w:rFonts w:cstheme="majorHAnsi"/>
          <w:lang w:val="en-US"/>
        </w:rPr>
        <w:t>TruSeq</w:t>
      </w:r>
      <w:proofErr w:type="spellEnd"/>
      <w:r w:rsidRPr="008300FC">
        <w:rPr>
          <w:rFonts w:cstheme="majorHAnsi"/>
          <w:lang w:val="en-US"/>
        </w:rPr>
        <w:t xml:space="preserve"> Small RNA kit as described in </w:t>
      </w:r>
      <w:r w:rsidRPr="008300FC">
        <w:rPr>
          <w:rFonts w:cstheme="majorHAnsi"/>
          <w:lang w:val="en-US"/>
        </w:rPr>
        <w:fldChar w:fldCharType="begin"/>
      </w:r>
      <w:r w:rsidR="00614CF6">
        <w:rPr>
          <w:rFonts w:cstheme="majorHAnsi"/>
          <w:lang w:val="en-US"/>
        </w:rPr>
        <w:instrText xml:space="preserve"> ADDIN ZOTERO_ITEM CSL_CITATION {"citationID":"v4SXYjCx","properties":{"formattedCitation":"\\super 4\\nosupersub{}","plainCitation":"4","noteIndex":0},"citationItems":[{"id":509,"uris":["http://zotero.org/users/11797823/items/IWZISWGY"],"itemData":{"id":509,"type":"article-journal","abstract":"While some individuals age without pathological memory impairments, others develop age-associated cognitive diseases. Since changes in cognitive function develop slowly over time in these patients, they are often diagnosed at an advanced stage of molecular pathology, a time point when causative treatments fail. Thus, there is great need for the identification of inexpensive and minimal invasive approaches that could be used for screening with the aim to identify individuals at risk for cognitive decline that can then undergo further diagnostics and eventually stratified therapies. In this study, we use an integrative approach combining the analysis of human data and mechanistic studies in model systems to identify a circulating 3-microRNA signature that reflects key processes linked to neural homeostasis and inform about cognitive status. We furthermore provide evidence that expression changes in this signature represent multiple mechanisms deregulated in the aging and diseased brain and are a suitable target for RNA therapeutics.","container-title":"EMBO molecular medicine","DOI":"10.15252/emmm.202013659","ISSN":"1757-4684","issue":"11","journalAbbreviation":"EMBO Mol Med","language":"eng","note":"PMID: 34633146\nPMCID: PMC8573587","page":"e13659","source":"PubMed","title":"A microRNA signature that correlates with cognition and is a target against cognitive decline","volume":"13","author":[{"family":"Islam","given":"Md Rezaul"},{"family":"Kaurani","given":"Lalit"},{"family":"Berulava","given":"Tea"},{"family":"Heilbronner","given":"Urs"},{"family":"Budde","given":"Monika"},{"family":"Centeno","given":"Tonatiuh Pena"},{"family":"Elerdashvili","given":"Vakthang"},{"family":"Zafieriou","given":"Maria-Patapia"},{"family":"Benito","given":"Eva"},{"family":"Sertel","given":"Sinem M."},{"family":"Goldberg","given":"Maria"},{"family":"Senner","given":"Fanny"},{"family":"Kalman","given":"Janos L."},{"family":"Burkhardt","given":"Susanne"},{"family":"Oepen","given":"Anne Sophie"},{"family":"Sakib","given":"Mohammad Sadman"},{"family":"Kerimoglu","given":"Cemil"},{"family":"Wirths","given":"Oliver"},{"family":"Bickeböller","given":"Heike"},{"family":"Bartels","given":"Claudia"},{"family":"Brosseron","given":"Frederic"},{"family":"Buerger","given":"Katharina"},{"family":"Cosma","given":"Nicoleta-Carmen"},{"family":"Fliessbach","given":"Klaus"},{"family":"Heneka","given":"Michael T."},{"family":"Janowitz","given":"Daniel"},{"family":"Kilimann","given":"Ingo"},{"family":"Kleinedam","given":"Luca"},{"family":"Laske","given":"Christoph"},{"family":"Metzger","given":"Coraline D."},{"family":"Munk","given":"Matthias H."},{"family":"Perneczky","given":"Robert"},{"family":"Peters","given":"Oliver"},{"family":"Priller","given":"Josef"},{"family":"Rauchmann","given":"Boris S."},{"family":"Roy","given":"Nina"},{"family":"Schneider","given":"Anja"},{"family":"Spottke","given":"Annika"},{"family":"Spruth","given":"Eike J."},{"family":"Teipel","given":"Stefan"},{"family":"Tscheuschler","given":"Maike"},{"family":"Wagner","given":"Michael"},{"family":"Wiltfang","given":"Jens"},{"family":"Düzel","given":"Emrah"},{"family":"Jessen","given":"Frank"},{"literal":"Delcode Study Group"},{"family":"Rizzoli","given":"Silvio O."},{"family":"Zimmermann","given":"Wolfram-Hubertus"},{"family":"Schulze","given":"Thomas G."},{"family":"Falkai","given":"Peter"},{"family":"Sananbenesi","given":"Farahnaz"},{"family":"Fischer","given":"Andre"}],"issued":{"date-parts":[["2021",11,8]]},"citation-key":"islamMicroRNASignatureThat2021"}}],"schema":"https://github.com/citation-style-language/schema/raw/master/csl-citation.json"} </w:instrText>
      </w:r>
      <w:r w:rsidRPr="008300FC">
        <w:rPr>
          <w:rFonts w:cstheme="majorHAnsi"/>
          <w:lang w:val="en-US"/>
        </w:rPr>
        <w:fldChar w:fldCharType="separate"/>
      </w:r>
      <w:r w:rsidR="00614CF6" w:rsidRPr="00614CF6">
        <w:rPr>
          <w:rFonts w:ascii="Aptos" w:hAnsi="Aptos" w:cs="Times New Roman"/>
          <w:kern w:val="0"/>
          <w:vertAlign w:val="superscript"/>
        </w:rPr>
        <w:t>4</w:t>
      </w:r>
      <w:r w:rsidRPr="008300FC">
        <w:rPr>
          <w:rFonts w:cstheme="majorHAnsi"/>
          <w:lang w:val="en-US"/>
        </w:rPr>
        <w:fldChar w:fldCharType="end"/>
      </w:r>
      <w:r w:rsidRPr="008300FC">
        <w:rPr>
          <w:rFonts w:cstheme="majorHAnsi"/>
          <w:lang w:val="en-US"/>
        </w:rPr>
        <w:fldChar w:fldCharType="begin"/>
      </w:r>
      <w:r w:rsidR="00614CF6">
        <w:rPr>
          <w:rFonts w:cstheme="majorHAnsi"/>
          <w:lang w:val="en-US"/>
        </w:rPr>
        <w:instrText xml:space="preserve"> ADDIN ZOTERO_ITEM CSL_CITATION {"citationID":"ipqe0spQ","properties":{"formattedCitation":"\\super 5\\nosupersub{}","plainCitation":"5","noteIndex":0},"citationItems":[{"id":"EfFLRz5n/LCe08Y3r","uris":["http://zotero.org/users/11797823/items/4SUW3P9H"],"itemData":{"id":"XLmKHHcY/afucIzhw","type":"article-journal","container-title":"Genome Biology","DOI":"10.1186/s13059-018-1588-9","ISSN":"1474-760X","issue":"1","journalAbbreviation":"Genome Biol","language":"en","page":"213","source":"DOI.org (Crossref)","title":"miRTrace reveals the organismal origins of microRNA sequencing data","volume":"19","author":[{"family":"Kang","given":"Wenjing"},{"family":"Eldfjell","given":"Yrin"},{"family":"Fromm","given":"Bastian"},{"family":"Estivill","given":"Xavier"},{"family":"Biryukova","given":"Inna"},{"family":"Friedländer","given":"Marc R."}],"issued":{"date-parts":[["2018",12]]},"citation-key":"kangMiRTraceRevealsOrganismal2018"}}],"schema":"https://github.com/citation-style-language/schema/raw/master/csl-citation.json"} </w:instrText>
      </w:r>
      <w:r w:rsidRPr="008300FC">
        <w:rPr>
          <w:rFonts w:cstheme="majorHAnsi"/>
          <w:lang w:val="en-US"/>
        </w:rPr>
        <w:fldChar w:fldCharType="separate"/>
      </w:r>
      <w:r w:rsidR="00614CF6" w:rsidRPr="00614CF6">
        <w:rPr>
          <w:rFonts w:ascii="Aptos" w:hAnsi="Aptos" w:cs="Times New Roman"/>
          <w:kern w:val="0"/>
          <w:vertAlign w:val="superscript"/>
        </w:rPr>
        <w:t>5</w:t>
      </w:r>
      <w:r w:rsidRPr="008300FC">
        <w:rPr>
          <w:rFonts w:cstheme="majorHAnsi"/>
          <w:lang w:val="en-US"/>
        </w:rPr>
        <w:fldChar w:fldCharType="end"/>
      </w:r>
      <w:r w:rsidRPr="008300FC">
        <w:rPr>
          <w:rFonts w:cstheme="majorHAnsi"/>
          <w:lang w:val="en-US"/>
        </w:rPr>
        <w:t>. We considered the miRNAs with 5 or more reads on at least half the samples as being expressed.</w:t>
      </w:r>
    </w:p>
    <w:p w14:paraId="5C69B777" w14:textId="656AA556" w:rsidR="004C0D18" w:rsidRPr="008300FC" w:rsidRDefault="004C0D18" w:rsidP="004C0D18">
      <w:pPr>
        <w:spacing w:line="480" w:lineRule="auto"/>
        <w:jc w:val="both"/>
        <w:rPr>
          <w:rFonts w:cstheme="majorHAnsi"/>
          <w:lang w:val="en-US"/>
        </w:rPr>
      </w:pPr>
      <w:r w:rsidRPr="008300FC">
        <w:rPr>
          <w:rFonts w:cstheme="majorHAnsi"/>
          <w:lang w:val="en-US"/>
        </w:rPr>
        <w:t xml:space="preserve">QC were realized using </w:t>
      </w:r>
      <w:proofErr w:type="spellStart"/>
      <w:r w:rsidRPr="008300FC">
        <w:rPr>
          <w:rFonts w:cstheme="majorHAnsi"/>
          <w:lang w:val="en-US"/>
        </w:rPr>
        <w:t>FastQC</w:t>
      </w:r>
      <w:proofErr w:type="spellEnd"/>
      <w:r w:rsidRPr="008300FC">
        <w:rPr>
          <w:rFonts w:cstheme="majorHAnsi"/>
          <w:lang w:val="en-US"/>
        </w:rPr>
        <w:t xml:space="preserve"> v0.12.1 and </w:t>
      </w:r>
      <w:proofErr w:type="spellStart"/>
      <w:r w:rsidRPr="008300FC">
        <w:rPr>
          <w:rFonts w:cstheme="majorHAnsi"/>
          <w:lang w:val="en-US"/>
        </w:rPr>
        <w:t>miRTrace</w:t>
      </w:r>
      <w:proofErr w:type="spellEnd"/>
      <w:r w:rsidRPr="008300FC">
        <w:rPr>
          <w:rFonts w:cstheme="majorHAnsi"/>
          <w:lang w:val="en-US"/>
        </w:rPr>
        <w:t xml:space="preserve"> v1.0.0 </w:t>
      </w:r>
      <w:r w:rsidRPr="008300FC">
        <w:rPr>
          <w:rFonts w:cstheme="majorHAnsi"/>
          <w:lang w:val="en-US"/>
        </w:rPr>
        <w:fldChar w:fldCharType="begin"/>
      </w:r>
      <w:r w:rsidR="00614CF6">
        <w:rPr>
          <w:rFonts w:cstheme="majorHAnsi"/>
          <w:lang w:val="en-US"/>
        </w:rPr>
        <w:instrText xml:space="preserve"> ADDIN ZOTERO_ITEM CSL_CITATION {"citationID":"RKTZj8mF","properties":{"formattedCitation":"\\super 5\\nosupersub{}","plainCitation":"5","noteIndex":0},"citationItems":[{"id":"EfFLRz5n/LCe08Y3r","uris":["http://zotero.org/users/11797823/items/4SUW3P9H"],"itemData":{"id":512,"type":"article-journal","container-title":"Genome Biology","DOI":"10.1186/s13059-018-1588-9","ISSN":"1474-760X","issue":"1","journalAbbreviation":"Genome Biol","language":"en","page":"213","source":"DOI.org (Crossref)","title":"miRTrace reveals the organismal origins of microRNA sequencing data","volume":"19","author":[{"family":"Kang","given":"Wenjing"},{"family":"Eldfjell","given":"Yrin"},{"family":"Fromm","given":"Bastian"},{"family":"Estivill","given":"Xavier"},{"family":"Biryukova","given":"Inna"},{"family":"Friedländer","given":"Marc R."}],"issued":{"date-parts":[["2018",12]]},"citation-key":"kangMiRTraceRevealsOrganismal2018"}}],"schema":"https://github.com/citation-style-language/schema/raw/master/csl-citation.json"} </w:instrText>
      </w:r>
      <w:r w:rsidRPr="008300FC">
        <w:rPr>
          <w:rFonts w:cstheme="majorHAnsi"/>
          <w:lang w:val="en-US"/>
        </w:rPr>
        <w:fldChar w:fldCharType="separate"/>
      </w:r>
      <w:r w:rsidR="00614CF6" w:rsidRPr="00614CF6">
        <w:rPr>
          <w:rFonts w:ascii="Aptos" w:hAnsi="Aptos" w:cs="Times New Roman"/>
          <w:kern w:val="0"/>
          <w:vertAlign w:val="superscript"/>
        </w:rPr>
        <w:t>5</w:t>
      </w:r>
      <w:r w:rsidRPr="008300FC">
        <w:rPr>
          <w:rFonts w:cstheme="majorHAnsi"/>
          <w:lang w:val="en-US"/>
        </w:rPr>
        <w:fldChar w:fldCharType="end"/>
      </w:r>
      <w:r w:rsidRPr="008300FC">
        <w:rPr>
          <w:rFonts w:cstheme="majorHAnsi"/>
          <w:lang w:val="en-US"/>
        </w:rPr>
        <w:t xml:space="preserve">. Sequenced reads were mapped to the hg38 genome using mirdeep2 v2.0.1.2 and bowtie v1.3.1. More exactly, we used the mapper.pl command of mirdeep2 with the default settings to make the alignment while discarding reads with less than 18 nucleotides then, we used mirdeep2 quantifier.pl command to quantify the human miRNAs in the version 22 of </w:t>
      </w:r>
      <w:proofErr w:type="spellStart"/>
      <w:r w:rsidRPr="008300FC">
        <w:rPr>
          <w:rFonts w:cstheme="majorHAnsi"/>
          <w:lang w:val="en-US"/>
        </w:rPr>
        <w:t>miRBase</w:t>
      </w:r>
      <w:proofErr w:type="spellEnd"/>
      <w:r w:rsidRPr="008300FC">
        <w:rPr>
          <w:rFonts w:cstheme="majorHAnsi"/>
          <w:lang w:val="en-US"/>
        </w:rPr>
        <w:t xml:space="preserve">. Samples that generated warnings when </w:t>
      </w:r>
      <w:proofErr w:type="spellStart"/>
      <w:r w:rsidRPr="008300FC">
        <w:rPr>
          <w:rFonts w:cstheme="majorHAnsi"/>
          <w:lang w:val="en-US"/>
        </w:rPr>
        <w:t>analysed</w:t>
      </w:r>
      <w:proofErr w:type="spellEnd"/>
      <w:r w:rsidRPr="008300FC">
        <w:rPr>
          <w:rFonts w:cstheme="majorHAnsi"/>
          <w:lang w:val="en-US"/>
        </w:rPr>
        <w:t xml:space="preserve"> by the </w:t>
      </w:r>
      <w:proofErr w:type="spellStart"/>
      <w:r w:rsidRPr="008300FC">
        <w:rPr>
          <w:rFonts w:cstheme="majorHAnsi"/>
          <w:lang w:val="en-US"/>
        </w:rPr>
        <w:t>miRTrace</w:t>
      </w:r>
      <w:proofErr w:type="spellEnd"/>
      <w:r w:rsidRPr="008300FC">
        <w:rPr>
          <w:rFonts w:cstheme="majorHAnsi"/>
          <w:lang w:val="en-US"/>
        </w:rPr>
        <w:t xml:space="preserve"> pipeline were removed from further analysis. We also removed samples of participants diagnosed with “Brief Psychotic Disorder” or “Schizop</w:t>
      </w:r>
      <w:r w:rsidR="00515D0F">
        <w:rPr>
          <w:rFonts w:cstheme="majorHAnsi"/>
          <w:lang w:val="en-US"/>
        </w:rPr>
        <w:t>hr</w:t>
      </w:r>
      <w:r w:rsidRPr="008300FC">
        <w:rPr>
          <w:rFonts w:cstheme="majorHAnsi"/>
          <w:lang w:val="en-US"/>
        </w:rPr>
        <w:t xml:space="preserve">eniform Disorder”. Then, we filtered the </w:t>
      </w:r>
      <w:r w:rsidRPr="008300FC">
        <w:rPr>
          <w:rFonts w:cstheme="majorHAnsi"/>
          <w:lang w:val="en-US"/>
        </w:rPr>
        <w:lastRenderedPageBreak/>
        <w:t>miRNAs to keep only those with 5 or more reads on at least half the samples as being expressed. Leaving a total of 495 expressed miRNA and 1476 samples.</w:t>
      </w:r>
    </w:p>
    <w:p w14:paraId="5EB04AE3" w14:textId="428039FE" w:rsidR="004C0D18" w:rsidRPr="008300FC" w:rsidRDefault="004C0D18" w:rsidP="004C0D18">
      <w:pPr>
        <w:spacing w:line="480" w:lineRule="auto"/>
        <w:jc w:val="both"/>
        <w:rPr>
          <w:rFonts w:cstheme="majorHAnsi"/>
          <w:lang w:val="en-US"/>
        </w:rPr>
      </w:pPr>
      <w:r w:rsidRPr="008300FC">
        <w:rPr>
          <w:rFonts w:cstheme="majorHAnsi"/>
          <w:lang w:val="en-US"/>
        </w:rPr>
        <w:t>For validation purpose, we sequenced the mRNAs of 43 PBMC samples (11 affective, 14 Psychotic,</w:t>
      </w:r>
      <w:r w:rsidRPr="008300FC" w:rsidDel="00DE4C8B">
        <w:rPr>
          <w:rFonts w:cstheme="majorHAnsi"/>
          <w:lang w:val="en-US"/>
        </w:rPr>
        <w:t xml:space="preserve"> </w:t>
      </w:r>
      <w:r w:rsidRPr="008300FC">
        <w:rPr>
          <w:rFonts w:cstheme="majorHAnsi"/>
          <w:lang w:val="en-US"/>
        </w:rPr>
        <w:t xml:space="preserve">18 controls) collected at a new recruitment of the PsyCourse </w:t>
      </w:r>
      <w:r w:rsidR="00D066A1">
        <w:rPr>
          <w:rFonts w:cstheme="majorHAnsi"/>
          <w:lang w:val="en-US"/>
        </w:rPr>
        <w:t>Study participants</w:t>
      </w:r>
      <w:r w:rsidR="00D066A1" w:rsidRPr="008300FC">
        <w:rPr>
          <w:rFonts w:cstheme="majorHAnsi"/>
          <w:lang w:val="en-US"/>
        </w:rPr>
        <w:t xml:space="preserve"> </w:t>
      </w:r>
      <w:r w:rsidRPr="008300FC">
        <w:rPr>
          <w:rFonts w:cstheme="majorHAnsi"/>
          <w:lang w:val="en-US"/>
        </w:rPr>
        <w:t>for the MulioBio project.</w:t>
      </w:r>
      <w:r w:rsidRPr="008300FC" w:rsidDel="00E6124E">
        <w:rPr>
          <w:rFonts w:cstheme="majorHAnsi"/>
          <w:lang w:val="en-US"/>
        </w:rPr>
        <w:t xml:space="preserve"> </w:t>
      </w:r>
      <w:r w:rsidRPr="008300FC">
        <w:rPr>
          <w:rFonts w:cstheme="majorHAnsi"/>
          <w:lang w:val="en-US"/>
        </w:rPr>
        <w:t xml:space="preserve">Assay was carried out as in </w:t>
      </w:r>
      <w:r w:rsidRPr="008300FC">
        <w:rPr>
          <w:rFonts w:cstheme="majorHAnsi"/>
          <w:lang w:val="en-US"/>
        </w:rPr>
        <w:fldChar w:fldCharType="begin"/>
      </w:r>
      <w:r w:rsidR="00614CF6">
        <w:rPr>
          <w:rFonts w:cstheme="majorHAnsi"/>
          <w:lang w:val="en-US"/>
        </w:rPr>
        <w:instrText xml:space="preserve"> ADDIN ZOTERO_ITEM CSL_CITATION {"citationID":"sa5SNLJ1","properties":{"formattedCitation":"\\super 6\\nosupersub{}","plainCitation":"6","noteIndex":0},"citationItems":[{"id":"EfFLRz5n/bCssQytf","uris":["http://zotero.org/users/6470708/items/GEIIQAWD"],"itemData":{"id":1699,"type":"article-journal","abstract":"RATIONALE: Brain injury induces systemic immunosuppression increasing the risk of viral reactivations and altering neurological recovery.\nOBJECTIVES: To determine if systemic immune alterations and lung replication of Herpesviridae are associated and can help predict outcomes after brain injury.\nMETHODS: We collected peripheral blood mononuclear cells in severely brain-injured patients requiring invasive mechanical ventilation. We systematically searched for respiratory Herpes Simplex Virus (HSV) replications in tracheal aspirates. We also performed CHiP-sequencing, RNA-sequencing and in vitro functional assays of monocytes and CD4 T cells collected on day 1 to characterize immune response to severe acute brain injury. The primary outcome was the Glasgow outcome scale Extended (GOS-E) at 6 months.\nMEASUREMENTS AND MAIN RESULTS: In 344 severe brain-injured patients, lung HSV reactivations were observed in 39% of patients seropositive for HSV, and independently associated with poor neurological recovery at six months (hazard ratio 1.90, 95%CI 1.08-3.57). WGNA analyses of the transcriptomic response of monocytes to brain injury defined a module of 721 genes, including PD-L1 and CD80, enriched for the binding DNA motif of the transcriptional factor Zeb2, and whose ontogenic analyses revealed decreased interferon-</w:instrText>
      </w:r>
      <w:r w:rsidR="00614CF6">
        <w:rPr>
          <w:rFonts w:cstheme="majorHAnsi"/>
          <w:lang w:val="en-US"/>
        </w:rPr>
        <w:instrText xml:space="preserve">-mediated and anti-viral response signaling pathways. This monocyte signature was preserved in a validation cohort and predicted the neurological outcome at 6 months with good accuracy (AUC 0.786, 95%CI 0.593-0.978).\nCONCLUSIONS: A specific monocyte signature is associated with HSV reactivation and predicts recovery after brain injury. The alterations of the immune control of Herpesviridae replication are understudied and represent a novel therapeutic target.","container-title":"American Journal of Respiratory and Critical Care Medicine","DOI":"10.1164/rccm.202110-2324OC","ISSN":"1535-4970","journalAbbreviation":"Am J Respir Crit Care Med","language":"eng","note":"PMID: 35486851","source":"PubMed","title":"Monocyte Signature Associated with Herpes Simplex Virus Reactivation and Neurological Recovery After Brain Injury","author":[{"family":"Chaumette","given":"Tanguy"},{"family":"Cinotti","given":"Raphael"},{"family":"Mollé","given":"Alice"},{"family":"Solomon","given":"Pierre"},{"family":"Castain","given":"Louise"},{"family":"Fourgeux","given":"Cynthia"},{"family":"McWilliam","given":"Hamish Eg"},{"family":"Misme-Aucouturier","given":"Barbara"},{"family":"Broquet","given":"Alexis"},{"family":"Jacqueline","given":"Cédric"},{"family":"Vourc'h","given":"Mickael"},{"family":"Fradin","given":"Delphine"},{"family":"Bossard","given":"Celine"},{"family":"David","given":"Laurent"},{"family":"Montassier","given":"Emmanuel"},{"family":"Braudeau","given":"Cecile"},{"family":"Josien","given":"Régis"},{"family":"Villadangos","given":"Jose A."},{"family":"Asehnoune","given":"Karim"},{"family":"Bressollette-Bodin","given":"Celine"},{"family":"Poschmann","given":"Jeremie"},{"family":"Roquilly","given":"Antoine"}],"issued":{"date-parts":[["2022",4,29]]}}}],"schema":"https://github.com/citation-style-language/schema/raw/master/csl-citation.json"} </w:instrText>
      </w:r>
      <w:r w:rsidRPr="008300FC">
        <w:rPr>
          <w:rFonts w:cstheme="majorHAnsi"/>
          <w:lang w:val="en-US"/>
        </w:rPr>
        <w:fldChar w:fldCharType="separate"/>
      </w:r>
      <w:r w:rsidR="00614CF6" w:rsidRPr="00614CF6">
        <w:rPr>
          <w:rFonts w:ascii="Aptos" w:hAnsi="Aptos" w:cs="Times New Roman"/>
          <w:kern w:val="0"/>
          <w:vertAlign w:val="superscript"/>
        </w:rPr>
        <w:t>6</w:t>
      </w:r>
      <w:r w:rsidRPr="008300FC">
        <w:rPr>
          <w:rFonts w:cstheme="majorHAnsi"/>
          <w:lang w:val="en-US"/>
        </w:rPr>
        <w:fldChar w:fldCharType="end"/>
      </w:r>
      <w:r w:rsidRPr="008300FC">
        <w:rPr>
          <w:rFonts w:cstheme="majorHAnsi"/>
          <w:lang w:val="en-US"/>
        </w:rPr>
        <w:t xml:space="preserve">. Briefly, the libraries were prepared from 10 ng of total RNA. The mRNA poly(A) tails were tagged with universal adapters, well-specific barcodes, and unique molecular identifiers during template-switching reverse transcription. Barcoded complementary DNAs from multiple samples were then pooled, amplified, and </w:t>
      </w:r>
      <w:proofErr w:type="spellStart"/>
      <w:r w:rsidRPr="008300FC">
        <w:rPr>
          <w:rFonts w:cstheme="majorHAnsi"/>
          <w:lang w:val="en-US"/>
        </w:rPr>
        <w:t>tagmented</w:t>
      </w:r>
      <w:proofErr w:type="spellEnd"/>
      <w:r w:rsidRPr="008300FC">
        <w:rPr>
          <w:rFonts w:cstheme="majorHAnsi"/>
          <w:lang w:val="en-US"/>
        </w:rPr>
        <w:t xml:space="preserve"> using a transposon fragmentation approach which enriches for 3’ ends of complementary DNA. A library of 350 to 800 bp was run on a 100-cycle S1 v1.5 run on Nova seq6000 at the Genomics </w:t>
      </w:r>
      <w:proofErr w:type="spellStart"/>
      <w:r w:rsidRPr="008300FC">
        <w:rPr>
          <w:rFonts w:cstheme="majorHAnsi"/>
          <w:lang w:val="en-US"/>
        </w:rPr>
        <w:t>Antlantic</w:t>
      </w:r>
      <w:proofErr w:type="spellEnd"/>
      <w:r w:rsidRPr="008300FC">
        <w:rPr>
          <w:rFonts w:cstheme="majorHAnsi"/>
          <w:lang w:val="en-US"/>
        </w:rPr>
        <w:t xml:space="preserve"> platform (Nantes) platform facility (Nantes). An average of 5 million 75 bp single-end reads were obtained for each sample. Samples were demultiplexed and aligned to the hg38 genome using the DGE bioinformatics pipeline </w:t>
      </w:r>
      <w:r w:rsidRPr="008300FC">
        <w:rPr>
          <w:rFonts w:cstheme="majorHAnsi"/>
          <w:lang w:val="en-US"/>
        </w:rPr>
        <w:fldChar w:fldCharType="begin"/>
      </w:r>
      <w:r w:rsidR="00614CF6">
        <w:rPr>
          <w:rFonts w:cstheme="majorHAnsi"/>
          <w:lang w:val="en-US"/>
        </w:rPr>
        <w:instrText xml:space="preserve"> ADDIN ZOTERO_ITEM CSL_CITATION {"citationID":"bJ1ZAbxp","properties":{"formattedCitation":"\\super 7\\nosupersub{}","plainCitation":"7","noteIndex":0},"citationItems":[{"id":701,"uris":["http://zotero.org/users/11797823/items/4T7YA2IV"],"itemData":{"id":701,"type":"report","abstract":"Abstract\n          3’seq-RNA Profiling (3’SRP) approach is based on multiplexing samples and molecular indexing mRNA in order to drive genome-wide transcriptional profiling at reasonable cost in comparison to standard RNA-sequencing. The protocol is performed according to the 3′-digital gene expression (3′-DGE) approach developed by the Broad institute. The libraries are prepared from small amounts of total RNA where the mRNA poly(A) tails are tagged with universal adapters, well-specific barcodes and unique molecular identifiers (UMIs). We have improved the fragmentation step by implementing tagmentation based on the activity of a bead-linked transposome. This technique allows sample multiplexing on 96-well plates. Libraries are then sequenced using standard procedures, e.g. on Hiseq2500 or NovaSeq 6000 SP Flow Cells. We have developed a snakemake pipeline including every analysis step from raw fastq de-multiplexing to functional annotation of the differentially expressed genes, producing a complete HTML report for end-user.","genre":"preprint","note":"DOI: 10.21203/rs.3.pex-1336/v1","publisher":"Protocol Exchange","source":"DOI.org (Crossref)","title":"3’ RNA sequencing for robust and low-cost gene expression profiling","URL":"https://protocolexchange.researchsquare.com/article/pex-1336/v1","author":[{"family":"Charpentier","given":"Eric"},{"family":"Cornec","given":"Marine"},{"family":"Dumont","given":"Solenne"},{"family":"Meistermann","given":"Dimitri"},{"family":"Bordron","given":"Philippe"},{"family":"David","given":"Laurent"},{"family":"Redon","given":"Richard"},{"family":"Bonnaud","given":"Stéphanie"},{"family":"Bihouée","given":"Audrey"}],"accessed":{"date-parts":[["2024",2,28]]},"issued":{"date-parts":[["2021",1,28]]},"citation-key":"charpentierRNASequencingRobust2021"}}],"schema":"https://github.com/citation-style-language/schema/raw/master/csl-citation.json"} </w:instrText>
      </w:r>
      <w:r w:rsidRPr="008300FC">
        <w:rPr>
          <w:rFonts w:cstheme="majorHAnsi"/>
          <w:lang w:val="en-US"/>
        </w:rPr>
        <w:fldChar w:fldCharType="separate"/>
      </w:r>
      <w:r w:rsidR="00614CF6" w:rsidRPr="00614CF6">
        <w:rPr>
          <w:rFonts w:ascii="Aptos" w:hAnsi="Aptos" w:cs="Times New Roman"/>
          <w:kern w:val="0"/>
          <w:vertAlign w:val="superscript"/>
        </w:rPr>
        <w:t>7</w:t>
      </w:r>
      <w:r w:rsidRPr="008300FC">
        <w:rPr>
          <w:rFonts w:cstheme="majorHAnsi"/>
          <w:lang w:val="en-US"/>
        </w:rPr>
        <w:fldChar w:fldCharType="end"/>
      </w:r>
    </w:p>
    <w:p w14:paraId="2C35CD91" w14:textId="77777777" w:rsidR="004C0D18" w:rsidRPr="00671EDE" w:rsidRDefault="004C0D18" w:rsidP="001B673A">
      <w:pPr>
        <w:pStyle w:val="Heading2"/>
        <w:rPr>
          <w:b w:val="0"/>
          <w:lang w:val="en-US"/>
        </w:rPr>
      </w:pPr>
      <w:r w:rsidRPr="00881A71">
        <w:rPr>
          <w:lang w:val="en-US"/>
        </w:rPr>
        <w:t>DGE and TWAS analysis</w:t>
      </w:r>
    </w:p>
    <w:p w14:paraId="271C0B1E" w14:textId="77777777" w:rsidR="004C0D18" w:rsidRPr="008300FC" w:rsidRDefault="004C0D18" w:rsidP="004C0D18">
      <w:pPr>
        <w:pStyle w:val="docdata"/>
        <w:spacing w:before="0" w:beforeAutospacing="0" w:after="200" w:afterAutospacing="0" w:line="480" w:lineRule="auto"/>
        <w:jc w:val="both"/>
        <w:rPr>
          <w:rFonts w:asciiTheme="minorHAnsi" w:hAnsiTheme="minorHAnsi" w:cstheme="majorHAnsi"/>
          <w:sz w:val="22"/>
          <w:szCs w:val="22"/>
        </w:rPr>
      </w:pPr>
      <w:r w:rsidRPr="008300FC">
        <w:rPr>
          <w:rFonts w:asciiTheme="minorHAnsi" w:hAnsiTheme="minorHAnsi" w:cstheme="majorHAnsi"/>
          <w:color w:val="000000"/>
          <w:sz w:val="22"/>
          <w:szCs w:val="22"/>
        </w:rPr>
        <w:t>For our DGE analysis, we divided the PsyCourse samples in two discovery (N=456) and validation (N=1020) sets. the DESeq2 R package was used to identify DE miRNAs between broad diagnosis groups including a “Control” group (control participants), the “Affective” group (Type I or Type II BD and MDD), and the “Psychotic” group (SCZ and SCZA).</w:t>
      </w:r>
    </w:p>
    <w:p w14:paraId="79E356C3" w14:textId="4B33655F" w:rsidR="004C0D18" w:rsidRPr="008300FC" w:rsidRDefault="004C0D18" w:rsidP="004C0D18">
      <w:pPr>
        <w:pStyle w:val="NormalWeb"/>
        <w:spacing w:before="0" w:beforeAutospacing="0" w:after="200" w:afterAutospacing="0" w:line="480" w:lineRule="auto"/>
        <w:jc w:val="both"/>
        <w:rPr>
          <w:rFonts w:asciiTheme="minorHAnsi" w:hAnsiTheme="minorHAnsi" w:cstheme="majorHAnsi"/>
          <w:color w:val="000000"/>
          <w:sz w:val="22"/>
          <w:szCs w:val="22"/>
          <w:lang w:val="en-GB"/>
        </w:rPr>
      </w:pPr>
      <w:r w:rsidRPr="008300FC">
        <w:rPr>
          <w:rFonts w:asciiTheme="minorHAnsi" w:hAnsiTheme="minorHAnsi" w:cstheme="majorHAnsi"/>
          <w:sz w:val="22"/>
          <w:szCs w:val="22"/>
          <w:lang w:val="en-GB"/>
        </w:rPr>
        <w:t>For the TWAS analysis, w</w:t>
      </w:r>
      <w:r w:rsidRPr="008300FC">
        <w:rPr>
          <w:rFonts w:asciiTheme="minorHAnsi" w:hAnsiTheme="minorHAnsi" w:cstheme="majorHAnsi"/>
          <w:color w:val="000000"/>
          <w:sz w:val="22"/>
          <w:szCs w:val="22"/>
          <w:lang w:val="en-GB"/>
        </w:rPr>
        <w:t xml:space="preserve">e used samples for which we had miRNAome and genotype data to realize a discovery (N=402) and a validation TWAS (N=926) using the FUSION R software and GWAS summary data of SCZ </w:t>
      </w:r>
      <w:r w:rsidRPr="008300FC">
        <w:rPr>
          <w:rFonts w:asciiTheme="minorHAnsi" w:hAnsiTheme="minorHAnsi" w:cstheme="majorHAnsi"/>
          <w:color w:val="000000"/>
          <w:sz w:val="22"/>
          <w:szCs w:val="22"/>
          <w:lang w:val="en-GB"/>
        </w:rPr>
        <w:fldChar w:fldCharType="begin"/>
      </w:r>
      <w:r w:rsidR="00614CF6">
        <w:rPr>
          <w:rFonts w:asciiTheme="minorHAnsi" w:hAnsiTheme="minorHAnsi" w:cstheme="majorHAnsi"/>
          <w:color w:val="000000"/>
          <w:sz w:val="22"/>
          <w:szCs w:val="22"/>
          <w:lang w:val="en-GB"/>
        </w:rPr>
        <w:instrText xml:space="preserve"> ADDIN ZOTERO_ITEM CSL_CITATION {"citationID":"O1Zravjd","properties":{"formattedCitation":"\\super 8\\nosupersub{}","plainCitation":"8","noteIndex":0},"citationItems":[{"id":176,"uris":["http://zotero.org/users/11797823/items/KKZQBSDW"],"itemData":{"id":176,"type":"report","abstract":"SUMMARY\n          \n            Schizophrenia is a psychiatric disorder whose pathophysiology is largely unknown. It has a heritability of 60-80%, much of which is attributable to common risk alleles, suggesting genome-wide association studies can inform our understanding of aetiology\n            1\n            . Here, in 69,369 people with schizophrenia and 236,642 controls, we report common variant associations at 270 distinct loci. Using fine-mapping and functional genomic data, we prioritise 19 genes based on protein-coding or UTR variation, and 130 genes in total as likely to explain these associations. Fine-mapped candidates were enriched for genes associated with rare disruptive coding variants in people with schizophrenia, including the glutamate receptor subunit\n            GRIN2A\n            and transcription factor\n            SP4\n            , and were also enriched for genes implicated by such variants in autism and developmental disorder. Associations were concentrated in genes expressed in CNS neurons, both excitatory and inhibitory, but not other tissues or cell types, and implicated fundamental processes related to neuronal function, particularly synaptic organisation, differentiation and transmission. We identify biological processes of pathophysiological relevance to schizophrenia, show convergence of common and rare variant associations in schizophrenia and neurodevelopmental disorders, and provide a rich resource of priority genes and variants to advance mechanistic studies.","genre":"preprint","language":"en","note":"DOI: 10.1101/2020.09.12.20192922","publisher":"Genetic and Genomic Medicine","source":"DOI.org (Crossref)","title":"Mapping genomic loci prioritises genes and implicates synaptic biology in schizophrenia","URL":"http://medrxiv.org/lookup/doi/10.1101/2020.09.12.20192922","author":[{"literal":"The Schizophrenia Working Group of the Psychiatric Genomics Consortium"},{"family":"Ripke","given":"Stephan"},{"family":"Walters","given":"James TR"},{"family":"O’Donovan","given":"Michael C"}],"accessed":{"date-parts":[["2021",7,11]]},"issued":{"date-parts":[["2020",9,13]]},"citation-key":"theschizophreniaworkinggroupofthepsychiatricgenomicsconsortiumMappingGenomicLoci2020"}}],"schema":"https://github.com/citation-style-language/schema/raw/master/csl-citation.json"} </w:instrText>
      </w:r>
      <w:r w:rsidRPr="008300FC">
        <w:rPr>
          <w:rFonts w:asciiTheme="minorHAnsi" w:hAnsiTheme="minorHAnsi" w:cstheme="majorHAnsi"/>
          <w:color w:val="000000"/>
          <w:sz w:val="22"/>
          <w:szCs w:val="22"/>
          <w:lang w:val="en-GB"/>
        </w:rPr>
        <w:fldChar w:fldCharType="separate"/>
      </w:r>
      <w:r w:rsidR="00614CF6" w:rsidRPr="003E0A7B">
        <w:rPr>
          <w:rFonts w:ascii="Aptos" w:hAnsi="Aptos"/>
          <w:sz w:val="22"/>
          <w:vertAlign w:val="superscript"/>
          <w:lang w:val="en-GB"/>
        </w:rPr>
        <w:t>8</w:t>
      </w:r>
      <w:r w:rsidRPr="008300FC">
        <w:rPr>
          <w:rFonts w:asciiTheme="minorHAnsi" w:hAnsiTheme="minorHAnsi" w:cstheme="majorHAnsi"/>
          <w:color w:val="000000"/>
          <w:sz w:val="22"/>
          <w:szCs w:val="22"/>
          <w:lang w:val="en-GB"/>
        </w:rPr>
        <w:fldChar w:fldCharType="end"/>
      </w:r>
      <w:r w:rsidRPr="008300FC">
        <w:rPr>
          <w:rFonts w:asciiTheme="minorHAnsi" w:hAnsiTheme="minorHAnsi" w:cstheme="majorHAnsi"/>
          <w:color w:val="000000"/>
          <w:sz w:val="22"/>
          <w:szCs w:val="22"/>
          <w:lang w:val="en-GB"/>
        </w:rPr>
        <w:t xml:space="preserve"> and BD </w:t>
      </w:r>
      <w:r w:rsidRPr="008300FC">
        <w:rPr>
          <w:rFonts w:asciiTheme="minorHAnsi" w:hAnsiTheme="minorHAnsi" w:cstheme="majorHAnsi"/>
          <w:color w:val="000000"/>
          <w:sz w:val="22"/>
          <w:szCs w:val="22"/>
          <w:lang w:val="en-GB"/>
        </w:rPr>
        <w:fldChar w:fldCharType="begin"/>
      </w:r>
      <w:r w:rsidR="00614CF6">
        <w:rPr>
          <w:rFonts w:asciiTheme="minorHAnsi" w:hAnsiTheme="minorHAnsi" w:cstheme="majorHAnsi"/>
          <w:color w:val="000000"/>
          <w:sz w:val="22"/>
          <w:szCs w:val="22"/>
          <w:lang w:val="en-GB"/>
        </w:rPr>
        <w:instrText xml:space="preserve"> ADDIN ZOTERO_ITEM CSL_CITATION {"citationID":"YmBIOClv","properties":{"formattedCitation":"\\super 9\\nosupersub{}","plainCitation":"9","noteIndex":0},"citationItems":[{"id":175,"uris":["http://zotero.org/users/11797823/items/MWGWVVDU"],"itemData":{"id":175,"type":"article-journal","container-title":"Nature Genetics","DOI":"10.1038/s41588-021-00857-4","ISSN":"1061-4036, 1546-1718","issue":"6","journalAbbreviation":"Nat Genet","language":"en","note":"number: 6","page":"817-829","source":"DOI.org (Crossref)","title":"Genome-wide association study of more than 40,000 bipolar disorder cases provides new insights into the underlying biology","volume":"53","author":[{"family":"Mullins","given":"Niamh"},{"family":"Forstner","given":"Andreas J."},{"family":"O’Connell","given":"Kevin S."},{"family":"Coombes","given":"Brandon"},{"family":"Coleman","given":"Jonathan R. I."},{"family":"Qiao","given":"Zhen"},{"family":"Als","given":"Thomas D."},{"family":"Bigdeli","given":"Tim B."},{"family":"Børte","given":"Sigrid"},{"family":"Bryois","given":"Julien"},{"family":"Charney","given":"Alexander W."},{"family":"Drange","given":"Ole Kristian"},{"family":"Gandal","given":"Michael J."},{"family":"Hagenaars","given":"Saskia P."},{"family":"Ikeda","given":"Masashi"},{"family":"Kamitaki","given":"Nolan"},{"family":"Kim","given":"Minsoo"},{"family":"Krebs","given":"Kristi"},{"family":"Panagiotaropoulou","given":"Georgia"},{"family":"Schilder","given":"Brian M."},{"family":"Sloofman","given":"Laura G."},{"family":"Steinberg","given":"Stacy"},{"family":"Trubetskoy","given":"Vassily"},{"family":"Winsvold","given":"Bendik S."},{"family":"Won","given":"Hong-Hee"},{"family":"Abramova","given":"Liliya"},{"family":"Adorjan","given":"Kristina"},{"family":"Agerbo","given":"Esben"},{"family":"Al Eissa","given":"Mariam"},{"family":"Albani","given":"Diego"},{"family":"Alliey-Rodriguez","given":"Ney"},{"family":"Anjorin","given":"Adebayo"},{"family":"Antilla","given":"Verneri"},{"family":"Antoniou","given":"Anastasia"},{"family":"Awasthi","given":"Swapnil"},{"family":"Baek","given":"Ji Hyun"},{"family":"Bækvad-Hansen","given":"Marie"},{"family":"Bass","given":"Nicholas"},{"family":"Bauer","given":"Michael"},{"family":"Beins","given":"Eva C."},{"family":"Bergen","given":"Sarah E."},{"family":"Birner","given":"Armin"},{"family":"Bøcker Pedersen","given":"Carsten"},{"family":"Bøen","given":"Erlend"},{"family":"Boks","given":"Marco P."},{"family":"Bosch","given":"Rosa"},{"family":"Brum","given":"Murielle"},{"family":"Brumpton","given":"Ben M."},{"family":"Brunkhorst-Kanaan","given":"Nathalie"},{"family":"Budde","given":"Monika"},{"family":"Bybjerg-Grauholm","given":"Jonas"},{"family":"Byerley","given":"William"},{"family":"Cairns","given":"Murray"},{"family":"Casas","given":"Miquel"},{"family":"Cervantes","given":"Pablo"},{"family":"Clarke","given":"Toni-Kim"},{"family":"Cruceanu","given":"Cristiana"},{"family":"Cuellar-Barboza","given":"Alfredo"},{"family":"Cunningham","given":"Julie"},{"family":"Curtis","given":"David"},{"family":"Czerski","given":"Piotr M."},{"family":"Dale","given":"Anders M."},{"family":"Dalkner","given":"Nina"},{"family":"David","given":"Friederike S."},{"family":"Degenhardt","given":"Franziska"},{"family":"Djurovic","given":"Srdjan"},{"family":"Dobbyn","given":"Amanda L."},{"family":"Douzenis","given":"Athanassios"},{"family":"Elvsåshagen","given":"Torbjørn"},{"family":"Escott-Price","given":"Valentina"},{"family":"Ferrier","given":"I. Nicol"},{"family":"Fiorentino","given":"Alessia"},{"family":"Foroud","given":"Tatiana M."},{"family":"Forty","given":"Liz"},{"family":"Frank","given":"Josef"},{"family":"Frei","given":"Oleksandr"},{"family":"Freimer","given":"Nelson B."},{"family":"Frisén","given":"Louise"},{"family":"Gade","given":"Katrin"},{"family":"Garnham","given":"Julie"},{"family":"Gelernter","given":"Joel"},{"family":"Giørtz Pedersen","given":"Marianne"},{"family":"Gizer","given":"Ian R."},{"family":"Gordon","given":"Scott D."},{"family":"Gordon-Smith","given":"Katherine"},{"family":"Greenwood","given":"Tiffany A."},{"family":"Grove","given":"Jakob"},{"family":"Guzman-Parra","given":"José"},{"family":"Ha","given":"Kyooseob"},{"family":"Haraldsson","given":"Magnus"},{"family":"Hautzinger","given":"Martin"},{"family":"Heilbronner","given":"Urs"},{"family":"Hellgren","given":"Dennis"},{"family":"Herms","given":"Stefan"},{"family":"Hoffmann","given":"Per"},{"family":"Holmans","given":"Peter A."},{"family":"Huckins","given":"Laura"},{"family":"Jamain","given":"Stéphane"},{"family":"Johnson","given":"Jessica S."},{"family":"Kalman","given":"Janos L."},{"family":"Kamatani","given":"Yoichiro"},{"family":"Kennedy","given":"James L."},{"family":"Kittel-Schneider","given":"Sarah"},{"family":"Knowles","given":"James A."},{"family":"Kogevinas","given":"Manolis"},{"family":"Koromina","given":"Maria"},{"family":"Kranz","given":"Thorsten M."},{"family":"Kranzler","given":"Henry R."},{"family":"Kubo","given":"Michiaki"},{"family":"Kupka","given":"Ralph"},{"family":"Kushner","given":"Steven A."},{"family":"Lavebratt","given":"Catharina"},{"family":"Lawrence","given":"Jacob"},{"family":"Leber","given":"Markus"},{"family":"Lee","given":"Heon-Jeong"},{"family":"Lee","given":"Phil H."},{"family":"Levy","given":"Shawn E."},{"family":"Lewis","given":"Catrin"},{"family":"Liao","given":"Calwing"},{"family":"Lucae","given":"Susanne"},{"family":"Lundberg","given":"Martin"},{"family":"MacIntyre","given":"Donald J."},{"family":"Magnusson","given":"Sigurdur H."},{"family":"Maier","given":"Wolfgang"},{"family":"Maihofer","given":"Adam"},{"family":"Malaspina","given":"Dolores"},{"family":"Maratou","given":"Eirini"},{"family":"Martinsson","given":"Lina"},{"family":"Mattheisen","given":"Manuel"},{"family":"McCarroll","given":"Steven A."},{"family":"McGregor","given":"Nathaniel W."},{"family":"McGuffin","given":"Peter"},{"family":"McKay","given":"James D."},{"family":"Medeiros","given":"Helena"},{"family":"Medland","given":"Sarah E."},{"family":"Millischer","given":"Vincent"},{"family":"Montgomery","given":"Grant W."},{"family":"Moran","given":"Jennifer L."},{"family":"Morris","given":"Derek W."},{"family":"Mühleisen","given":"Thomas W."},{"family":"O’Brien","given":"Niamh"},{"family":"O’Donovan","given":"Claire"},{"family":"Olde Loohuis","given":"Loes M."},{"family":"Oruc","given":"Lilijana"},{"family":"Papiol","given":"Sergi"},{"family":"Pardiñas","given":"Antonio F."},{"family":"Perry","given":"Amy"},{"family":"Pfennig","given":"Andrea"},{"family":"Porichi","given":"Evgenia"},{"family":"Potash","given":"James B."},{"family":"Quested","given":"Digby"},{"family":"Raj","given":"Towfique"},{"family":"Rapaport","given":"Mark H."},{"family":"DePaulo","given":"J. Raymond"},{"family":"Regeer","given":"Eline J."},{"family":"Rice","given":"John P."},{"family":"Rivas","given":"Fabio"},{"family":"Rivera","given":"Margarita"},{"family":"Roth","given":"Julian"},{"family":"Roussos","given":"Panos"},{"family":"Ruderfer","given":"Douglas M."},{"family":"Sánchez-Mora","given":"Cristina"},{"family":"Schulte","given":"Eva C."},{"family":"Senner","given":"Fanny"},{"family":"Sharp","given":"Sally"},{"family":"Shilling","given":"Paul D."},{"family":"Sigurdsson","given":"Engilbert"},{"family":"Sirignano","given":"Lea"},{"family":"Slaney","given":"Claire"},{"family":"Smeland","given":"Olav B."},{"family":"Smith","given":"Daniel J."},{"family":"Sobell","given":"Janet L."},{"family":"Søholm Hansen","given":"Christine"},{"family":"Soler Artigas","given":"Maria"},{"family":"Spijker","given":"Anne T."},{"family":"Stein","given":"Dan J."},{"family":"Strauss","given":"John S."},{"family":"Świątkowska","given":"Beata"},{"family":"Terao","given":"Chikashi"},{"family":"Thorgeirsson","given":"Thorgeir E."},{"family":"Toma","given":"Claudio"},{"family":"Tooney","given":"Paul"},{"family":"Tsermpini","given":"Evangelia-Eirini"},{"family":"Vawter","given":"Marquis P."},{"family":"Vedder","given":"Helmut"},{"family":"Walters","given":"James T. R."},{"family":"Witt","given":"Stephanie H."},{"family":"Xi","given":"Simon"},{"family":"Xu","given":"Wei"},{"family":"Yang","given":"Jessica Mei Kay"},{"family":"Young","given":"Allan H."},{"family":"Young","given":"Hannah"},{"family":"Zandi","given":"Peter P."},{"family":"Zhou","given":"Hang"},{"family":"Zillich","given":"Lea"},{"literal":"HUNT All-In Psychiatry"},{"family":"Adolfsson","given":"Rolf"},{"family":"Agartz","given":"Ingrid"},{"family":"Alda","given":"Martin"},{"family":"Alfredsson","given":"Lars"},{"family":"Babadjanova","given":"Gulja"},{"family":"Backlund","given":"Lena"},{"family":"Baune","given":"Bernhard T."},{"family":"Bellivier","given":"Frank"},{"family":"Bengesser","given":"Susanne"},{"family":"Berrettini","given":"Wade H."},{"family":"Blackwood","given":"Douglas H. R."},{"family":"Boehnke","given":"Michael"},{"family":"Børglum","given":"Anders D."},{"family":"Breen","given":"Gerome"},{"family":"Carr","given":"Vaughan J."},{"family":"Catts","given":"Stanley"},{"family":"Corvin","given":"Aiden"},{"family":"Craddock","given":"Nicholas"},{"family":"Dannlowski","given":"Udo"},{"family":"Dikeos","given":"Dimitris"},{"family":"Esko","given":"Tõnu"},{"family":"Etain","given":"Bruno"},{"family":"Ferentinos","given":"Panagiotis"},{"family":"Frye","given":"Mark"},{"family":"Fullerton","given":"Janice M."},{"family":"Gawlik","given":"Micha"},{"family":"Gershon","given":"Elliot S."},{"family":"Goes","given":"Fernando S."},{"family":"Green","given":"Melissa J."},{"family":"Grigoroiu-Serbanescu","given":"Maria"},{"family":"Hauser","given":"Joanna"},{"family":"Henskens","given":"Frans"},{"family":"Hillert","given":"Jan"},{"family":"Hong","given":"Kyung Sue"},{"family":"Hougaard","given":"David M."},{"family":"Hultman","given":"Christina M."},{"family":"Hveem","given":"Kristian"},{"family":"Iwata","given":"Nakao"},{"family":"Jablensky","given":"Assen V."},{"family":"Jones","given":"Ian"},{"family":"Jones","given":"Lisa A."},{"family":"Kahn","given":"René S."},{"family":"Kelsoe","given":"John R."},{"family":"Kirov","given":"George"},{"family":"Landén","given":"Mikael"},{"family":"Leboyer","given":"Marion"},{"family":"Lewis","given":"Cathryn M."},{"family":"Li","given":"Qingqin S."},{"family":"Lissowska","given":"Jolanta"},{"family":"Lochner","given":"Christine"},{"family":"Loughland","given":"Carmel"},{"family":"Martin","given":"Nicholas G."},{"family":"Mathews","given":"Carol A."},{"family":"Mayoral","given":"Fermin"},{"family":"McElroy","given":"Susan L."},{"family":"McIntosh","given":"Andrew M."},{"family":"McMahon","given":"Francis J."},{"family":"Melle","given":"Ingrid"},{"family":"Michie","given":"Patricia"},{"family":"Milani","given":"Lili"},{"family":"Mitchell","given":"Philip B."},{"family":"Morken","given":"Gunnar"},{"family":"Mors","given":"Ole"},{"family":"Mortensen","given":"Preben Bo"},{"family":"Mowry","given":"Bryan"},{"family":"Müller-Myhsok","given":"Bertram"},{"family":"Myers","given":"Richard M."},{"family":"Neale","given":"Benjamin M."},{"family":"Nievergelt","given":"Caroline M."},{"family":"Nordentoft","given":"Merete"},{"family":"Nöthen","given":"Markus M."},{"family":"O’Donovan","given":"Michael C."},{"family":"Oedegaard","given":"Ketil J."},{"family":"Olsson","given":"Tomas"},{"family":"Owen","given":"Michael J."},{"family":"Paciga","given":"Sara A."},{"family":"Pantelis","given":"Chris"},{"family":"Pato","given":"Carlos"},{"family":"Pato","given":"Michele T."},{"family":"Patrinos","given":"George P."},{"family":"Perlis","given":"Roy H."},{"family":"Posthuma","given":"Danielle"},{"family":"Ramos-Quiroga","given":"Josep Antoni"},{"family":"Reif","given":"Andreas"},{"family":"Reininghaus","given":"Eva Z."},{"family":"Ribasés","given":"Marta"},{"family":"Rietschel","given":"Marcella"},{"family":"Ripke","given":"Stephan"},{"family":"Rouleau","given":"Guy A."},{"family":"Saito","given":"Takeo"},{"family":"Schall","given":"Ulrich"},{"family":"Schalling","given":"Martin"},{"family":"Schofield","given":"Peter R."},{"family":"Schulze","given":"Thomas G."},{"family":"Scott","given":"Laura J."},{"family":"Scott","given":"Rodney J."},{"family":"Serretti","given":"Alessandro"},{"family":"Shannon Weickert","given":"Cynthia"},{"family":"Smoller","given":"Jordan W."},{"family":"Stefansson","given":"Hreinn"},{"family":"Stefansson","given":"Kari"},{"family":"Stordal","given":"Eystein"},{"family":"Streit","given":"Fabian"},{"family":"Sullivan","given":"Patrick F."},{"family":"Turecki","given":"Gustavo"},{"family":"Vaaler","given":"Arne E."},{"family":"Vieta","given":"Eduard"},{"family":"Vincent","given":"John B."},{"family":"Waldman","given":"Irwin D."},{"family":"Weickert","given":"Thomas W."},{"family":"Werge","given":"Thomas"},{"family":"Wray","given":"Naomi R."},{"family":"Zwart","given":"John-Anker"},{"family":"Biernacka","given":"Joanna M."},{"family":"Nurnberger","given":"John I."},{"family":"Cichon","given":"Sven"},{"family":"Edenberg","given":"Howard J."},{"family":"Stahl","given":"Eli A."},{"family":"McQuillin","given":"Andrew"},{"family":"Di Florio","given":"Arianna"},{"family":"Ophoff","given":"Roel A."},{"family":"Andreassen","given":"Ole A."}],"issued":{"date-parts":[["2021",6]]},"citation-key":"mullinsGenomewideAssociationStudy2021"}}],"schema":"https://github.com/citation-style-language/schema/raw/master/csl-citation.json"} </w:instrText>
      </w:r>
      <w:r w:rsidRPr="008300FC">
        <w:rPr>
          <w:rFonts w:asciiTheme="minorHAnsi" w:hAnsiTheme="minorHAnsi" w:cstheme="majorHAnsi"/>
          <w:color w:val="000000"/>
          <w:sz w:val="22"/>
          <w:szCs w:val="22"/>
          <w:lang w:val="en-GB"/>
        </w:rPr>
        <w:fldChar w:fldCharType="separate"/>
      </w:r>
      <w:r w:rsidR="00614CF6" w:rsidRPr="00F36DC5">
        <w:rPr>
          <w:rFonts w:ascii="Aptos" w:hAnsi="Aptos"/>
          <w:sz w:val="22"/>
          <w:vertAlign w:val="superscript"/>
          <w:lang w:val="en-GB"/>
        </w:rPr>
        <w:t>9</w:t>
      </w:r>
      <w:r w:rsidRPr="008300FC">
        <w:rPr>
          <w:rFonts w:asciiTheme="minorHAnsi" w:hAnsiTheme="minorHAnsi" w:cstheme="majorHAnsi"/>
          <w:color w:val="000000"/>
          <w:sz w:val="22"/>
          <w:szCs w:val="22"/>
          <w:lang w:val="en-GB"/>
        </w:rPr>
        <w:fldChar w:fldCharType="end"/>
      </w:r>
      <w:r w:rsidRPr="008300FC">
        <w:rPr>
          <w:rFonts w:asciiTheme="minorHAnsi" w:hAnsiTheme="minorHAnsi" w:cstheme="majorHAnsi"/>
          <w:color w:val="000000"/>
          <w:sz w:val="22"/>
          <w:szCs w:val="22"/>
          <w:lang w:val="en-GB"/>
        </w:rPr>
        <w:t xml:space="preserve"> downloaded on the PGC consortium.</w:t>
      </w:r>
    </w:p>
    <w:p w14:paraId="21846104" w14:textId="665DA4FF" w:rsidR="004C0D18" w:rsidRPr="008300FC" w:rsidRDefault="004C0D18" w:rsidP="004C0D18">
      <w:pPr>
        <w:pStyle w:val="NormalWeb"/>
        <w:spacing w:before="0" w:beforeAutospacing="0" w:after="200" w:afterAutospacing="0" w:line="480" w:lineRule="auto"/>
        <w:jc w:val="both"/>
        <w:rPr>
          <w:rFonts w:asciiTheme="minorHAnsi" w:hAnsiTheme="minorHAnsi" w:cstheme="majorHAnsi"/>
          <w:sz w:val="22"/>
          <w:szCs w:val="22"/>
          <w:lang w:val="en-GB"/>
        </w:rPr>
      </w:pPr>
      <w:r w:rsidRPr="008300FC">
        <w:rPr>
          <w:rFonts w:asciiTheme="minorHAnsi" w:hAnsiTheme="minorHAnsi" w:cstheme="majorHAnsi"/>
          <w:color w:val="000000"/>
          <w:sz w:val="22"/>
          <w:szCs w:val="22"/>
          <w:lang w:val="en-GB"/>
        </w:rPr>
        <w:t xml:space="preserve">For both analyses, we corrected for age, sex, and sequencing batch, we filtered the TWAS models of the miRNA with a significant heritability (p&lt;=0.05) in at least one of the </w:t>
      </w:r>
      <w:r w:rsidR="00BC6DD7">
        <w:rPr>
          <w:rFonts w:asciiTheme="minorHAnsi" w:hAnsiTheme="minorHAnsi" w:cstheme="majorHAnsi"/>
          <w:color w:val="000000"/>
          <w:sz w:val="22"/>
          <w:szCs w:val="22"/>
          <w:lang w:val="en-GB"/>
        </w:rPr>
        <w:t xml:space="preserve">discovery or validation </w:t>
      </w:r>
      <w:r w:rsidR="00D066A1">
        <w:rPr>
          <w:rFonts w:asciiTheme="minorHAnsi" w:hAnsiTheme="minorHAnsi" w:cstheme="majorHAnsi"/>
          <w:color w:val="000000"/>
          <w:sz w:val="22"/>
          <w:szCs w:val="22"/>
          <w:lang w:val="en-GB"/>
        </w:rPr>
        <w:t>samples groups</w:t>
      </w:r>
      <w:r w:rsidRPr="008300FC">
        <w:rPr>
          <w:rFonts w:asciiTheme="minorHAnsi" w:hAnsiTheme="minorHAnsi" w:cstheme="majorHAnsi"/>
          <w:color w:val="000000"/>
          <w:sz w:val="22"/>
          <w:szCs w:val="22"/>
          <w:lang w:val="en-GB"/>
        </w:rPr>
        <w:t xml:space="preserve">, and we defined statistically significant miRNAs as those with an adjusted TWAS </w:t>
      </w:r>
      <w:r w:rsidRPr="008300FC">
        <w:rPr>
          <w:rFonts w:asciiTheme="minorHAnsi" w:hAnsiTheme="minorHAnsi" w:cstheme="majorHAnsi"/>
          <w:color w:val="000000"/>
          <w:sz w:val="22"/>
          <w:szCs w:val="22"/>
          <w:lang w:val="en-GB"/>
        </w:rPr>
        <w:lastRenderedPageBreak/>
        <w:t xml:space="preserve">p-value &lt;= 0.05 (BH) inferior to 0.05 and a similar TWAS z-score </w:t>
      </w:r>
      <w:r w:rsidR="00C06420">
        <w:rPr>
          <w:rFonts w:asciiTheme="minorHAnsi" w:hAnsiTheme="minorHAnsi" w:cstheme="majorHAnsi"/>
          <w:color w:val="000000"/>
          <w:sz w:val="22"/>
          <w:szCs w:val="22"/>
          <w:lang w:val="en-GB"/>
        </w:rPr>
        <w:t xml:space="preserve">(for the TWAS) </w:t>
      </w:r>
      <w:r w:rsidRPr="008300FC">
        <w:rPr>
          <w:rFonts w:asciiTheme="minorHAnsi" w:hAnsiTheme="minorHAnsi" w:cstheme="majorHAnsi"/>
          <w:color w:val="000000"/>
          <w:sz w:val="22"/>
          <w:szCs w:val="22"/>
          <w:lang w:val="en-GB"/>
        </w:rPr>
        <w:t xml:space="preserve">or </w:t>
      </w:r>
      <w:r w:rsidR="00C06420">
        <w:rPr>
          <w:rFonts w:asciiTheme="minorHAnsi" w:hAnsiTheme="minorHAnsi" w:cstheme="majorHAnsi"/>
          <w:color w:val="000000"/>
          <w:sz w:val="22"/>
          <w:szCs w:val="22"/>
          <w:lang w:val="en-GB"/>
        </w:rPr>
        <w:t xml:space="preserve">a similar </w:t>
      </w:r>
      <w:r w:rsidRPr="008300FC">
        <w:rPr>
          <w:rFonts w:asciiTheme="minorHAnsi" w:hAnsiTheme="minorHAnsi" w:cstheme="majorHAnsi"/>
          <w:color w:val="000000"/>
          <w:sz w:val="22"/>
          <w:szCs w:val="22"/>
          <w:lang w:val="en-GB"/>
        </w:rPr>
        <w:t>log2 fold change</w:t>
      </w:r>
      <w:r w:rsidR="00C06420">
        <w:rPr>
          <w:rFonts w:asciiTheme="minorHAnsi" w:hAnsiTheme="minorHAnsi" w:cstheme="majorHAnsi"/>
          <w:color w:val="000000"/>
          <w:sz w:val="22"/>
          <w:szCs w:val="22"/>
          <w:lang w:val="en-GB"/>
        </w:rPr>
        <w:t xml:space="preserve"> (for the DGE analysis)</w:t>
      </w:r>
      <w:r w:rsidRPr="008300FC">
        <w:rPr>
          <w:rFonts w:asciiTheme="minorHAnsi" w:hAnsiTheme="minorHAnsi" w:cstheme="majorHAnsi"/>
          <w:color w:val="000000"/>
          <w:sz w:val="22"/>
          <w:szCs w:val="22"/>
          <w:lang w:val="en-GB"/>
        </w:rPr>
        <w:t>.</w:t>
      </w:r>
    </w:p>
    <w:p w14:paraId="6E8A98C3" w14:textId="22BC1A97" w:rsidR="004C0D18" w:rsidRPr="008300FC" w:rsidRDefault="004C0D18" w:rsidP="004C0D18">
      <w:pPr>
        <w:spacing w:line="480" w:lineRule="auto"/>
        <w:jc w:val="both"/>
        <w:rPr>
          <w:rFonts w:cstheme="majorHAnsi"/>
        </w:rPr>
      </w:pPr>
      <w:r w:rsidRPr="008300FC">
        <w:rPr>
          <w:rFonts w:cstheme="majorHAnsi"/>
        </w:rPr>
        <w:t xml:space="preserve">The TWAS analysis was </w:t>
      </w:r>
      <w:r w:rsidR="00BC6DD7">
        <w:rPr>
          <w:rFonts w:cstheme="majorHAnsi"/>
        </w:rPr>
        <w:t xml:space="preserve">performed </w:t>
      </w:r>
      <w:r w:rsidRPr="008300FC">
        <w:rPr>
          <w:rFonts w:cstheme="majorHAnsi"/>
        </w:rPr>
        <w:t>using R3.6.2. All other analysis involving R were realized using R4.2.3.</w:t>
      </w:r>
    </w:p>
    <w:p w14:paraId="56136786" w14:textId="77777777" w:rsidR="004C0D18" w:rsidRPr="008300FC" w:rsidRDefault="004C0D18" w:rsidP="001B673A">
      <w:pPr>
        <w:pStyle w:val="Heading2"/>
        <w:rPr>
          <w:b w:val="0"/>
        </w:rPr>
      </w:pPr>
      <w:r w:rsidRPr="008300FC">
        <w:t>Machine Learning</w:t>
      </w:r>
    </w:p>
    <w:p w14:paraId="6FB5E0E1" w14:textId="355B2DC7" w:rsidR="004E5AD4" w:rsidRDefault="004E5AD4" w:rsidP="004C0D18">
      <w:pPr>
        <w:spacing w:line="480" w:lineRule="auto"/>
        <w:jc w:val="both"/>
      </w:pPr>
      <w:r>
        <w:rPr>
          <w:lang w:val="en-US"/>
        </w:rPr>
        <w:t>N</w:t>
      </w:r>
      <w:r w:rsidRPr="0047016E">
        <w:rPr>
          <w:lang w:val="en-US"/>
        </w:rPr>
        <w:t>eural networks</w:t>
      </w:r>
      <w:r>
        <w:rPr>
          <w:lang w:val="en-US"/>
        </w:rPr>
        <w:t xml:space="preserve"> (NN)</w:t>
      </w:r>
      <w:r w:rsidRPr="0047016E">
        <w:rPr>
          <w:lang w:val="en-US"/>
        </w:rPr>
        <w:t xml:space="preserve">, a type of machine learning </w:t>
      </w:r>
      <w:r>
        <w:rPr>
          <w:lang w:val="en-US"/>
        </w:rPr>
        <w:t xml:space="preserve">(ML) </w:t>
      </w:r>
      <w:r w:rsidRPr="0047016E">
        <w:rPr>
          <w:lang w:val="en-US"/>
        </w:rPr>
        <w:t xml:space="preserve">algorithm that mimics brain structure through layers of interconnected artificial neurons, enables the identification of miRNAs as predictive markers for disease classification. This streamlined approach was chosen for its ability to efficiently process and learn from miRNA expression data, thereby enhancing the precision of disease state predictions. After training, the model's effectiveness </w:t>
      </w:r>
      <w:r>
        <w:rPr>
          <w:lang w:val="en-US"/>
        </w:rPr>
        <w:t>can be</w:t>
      </w:r>
      <w:r w:rsidRPr="0047016E">
        <w:rPr>
          <w:lang w:val="en-US"/>
        </w:rPr>
        <w:t xml:space="preserve"> evaluated using metrics such as accuracy and kappa-score on a test set, pinpointing critical miRNAs for disease differentiation.</w:t>
      </w:r>
      <w:r>
        <w:rPr>
          <w:lang w:val="en-US"/>
        </w:rPr>
        <w:t xml:space="preserve"> </w:t>
      </w:r>
      <w:r>
        <w:rPr>
          <w:rFonts w:cstheme="minorHAnsi"/>
        </w:rPr>
        <w:t>T</w:t>
      </w:r>
      <w:r w:rsidRPr="00D127B0">
        <w:rPr>
          <w:rFonts w:cstheme="minorHAnsi"/>
        </w:rPr>
        <w:t xml:space="preserve">his approach </w:t>
      </w:r>
      <w:r>
        <w:rPr>
          <w:rFonts w:cstheme="minorHAnsi"/>
        </w:rPr>
        <w:t>was used to reveal miRNAs</w:t>
      </w:r>
      <w:r w:rsidRPr="00D127B0">
        <w:rPr>
          <w:rFonts w:cstheme="minorHAnsi"/>
        </w:rPr>
        <w:t xml:space="preserve"> which </w:t>
      </w:r>
      <w:r>
        <w:rPr>
          <w:rFonts w:cstheme="minorHAnsi"/>
        </w:rPr>
        <w:t>may be</w:t>
      </w:r>
      <w:r w:rsidRPr="00D127B0">
        <w:rPr>
          <w:rFonts w:cstheme="minorHAnsi"/>
        </w:rPr>
        <w:t xml:space="preserve"> associated with disease state in a non-linear fashion </w:t>
      </w:r>
      <w:r w:rsidRPr="00D127B0">
        <w:rPr>
          <w:rFonts w:cstheme="minorHAnsi"/>
        </w:rPr>
        <w:fldChar w:fldCharType="begin"/>
      </w:r>
      <w:r w:rsidR="00614CF6">
        <w:rPr>
          <w:rFonts w:cstheme="minorHAnsi"/>
        </w:rPr>
        <w:instrText xml:space="preserve"> ADDIN ZOTERO_ITEM CSL_CITATION {"citationID":"OrgOxp8k","properties":{"formattedCitation":"\\super 10\\nosupersub{}","plainCitation":"10","noteIndex":0},"citationItems":[{"id":373,"uris":["http://zotero.org/users/11797823/items/BUC2XLBZ"],"itemData":{"id":373,"type":"article-journal","container-title":"Neural Networks","DOI":"10.1016/0893-6080(89)90020-8","ISSN":"08936080","issue":"5","journalAbbreviation":"Neural Networks","language":"en","page":"359-366","source":"DOI.org (Crossref)","title":"Multilayer feedforward networks are universal approximators","volume":"2","author":[{"family":"Hornik","given":"Kurt"},{"family":"Stinchcombe","given":"Maxwell"},{"family":"White","given":"Halbert"}],"issued":{"date-parts":[["1989",1]]},"citation-key":"hornikMultilayerFeedforwardNetworks1989"}}],"schema":"https://github.com/citation-style-language/schema/raw/master/csl-citation.json"} </w:instrText>
      </w:r>
      <w:r w:rsidRPr="00D127B0">
        <w:rPr>
          <w:rFonts w:cstheme="minorHAnsi"/>
        </w:rPr>
        <w:fldChar w:fldCharType="separate"/>
      </w:r>
      <w:r w:rsidR="00614CF6" w:rsidRPr="00614CF6">
        <w:rPr>
          <w:rFonts w:ascii="Arial" w:hAnsi="Arial" w:cs="Arial"/>
          <w:kern w:val="0"/>
          <w:vertAlign w:val="superscript"/>
        </w:rPr>
        <w:t>10</w:t>
      </w:r>
      <w:r w:rsidRPr="00D127B0">
        <w:rPr>
          <w:rFonts w:cstheme="minorHAnsi"/>
        </w:rPr>
        <w:fldChar w:fldCharType="end"/>
      </w:r>
    </w:p>
    <w:p w14:paraId="41777518" w14:textId="79B2A6BC" w:rsidR="004C0D18" w:rsidRDefault="004C0D18" w:rsidP="004C0D18">
      <w:pPr>
        <w:spacing w:line="480" w:lineRule="auto"/>
        <w:jc w:val="both"/>
      </w:pPr>
      <w:r w:rsidRPr="008E2FB3">
        <w:t xml:space="preserve">We used </w:t>
      </w:r>
      <w:r w:rsidRPr="008E2FB3">
        <w:rPr>
          <w:i/>
        </w:rPr>
        <w:t xml:space="preserve">R </w:t>
      </w:r>
      <w:r w:rsidRPr="008E2FB3">
        <w:t xml:space="preserve">software (v4.3.1) with packages </w:t>
      </w:r>
      <w:proofErr w:type="spellStart"/>
      <w:r w:rsidRPr="008E2FB3">
        <w:rPr>
          <w:i/>
        </w:rPr>
        <w:t>tidymodels</w:t>
      </w:r>
      <w:proofErr w:type="spellEnd"/>
      <w:r w:rsidRPr="66E83D34">
        <w:rPr>
          <w:i/>
          <w:iCs/>
        </w:rPr>
        <w:t xml:space="preserve"> </w:t>
      </w:r>
      <w:r w:rsidRPr="008E2FB3">
        <w:t xml:space="preserve">(v.1.1.1) and </w:t>
      </w:r>
      <w:proofErr w:type="spellStart"/>
      <w:r w:rsidRPr="008E2FB3">
        <w:rPr>
          <w:i/>
        </w:rPr>
        <w:t>keras</w:t>
      </w:r>
      <w:proofErr w:type="spellEnd"/>
      <w:r w:rsidRPr="66E83D34">
        <w:rPr>
          <w:i/>
          <w:iCs/>
        </w:rPr>
        <w:t xml:space="preserve"> </w:t>
      </w:r>
      <w:r w:rsidRPr="008E2FB3">
        <w:t>(v2.13)</w:t>
      </w:r>
      <w:r w:rsidRPr="66E83D34">
        <w:t xml:space="preserve"> for the creation of classifiers. Discovery and validation </w:t>
      </w:r>
      <w:r w:rsidR="009615B9">
        <w:t>samples</w:t>
      </w:r>
      <w:r w:rsidR="009615B9" w:rsidRPr="66E83D34">
        <w:t xml:space="preserve"> </w:t>
      </w:r>
      <w:r w:rsidRPr="66E83D34">
        <w:t xml:space="preserve">were split separately in training set and test set with the proportion of 75/25 with a stratification on disease status. Sets were then merged, resulting in a training set (N= 698) and a test set (N= 237) for the Affective vs Control Model and a training set (N= 659) and a test set (N= 222) for the Psychotic vs Control Model. Variables used were the numbers of reads of each miRNA, age and sex. Variables were transformed by log2, </w:t>
      </w:r>
      <w:proofErr w:type="spellStart"/>
      <w:r w:rsidRPr="66E83D34">
        <w:t>centered</w:t>
      </w:r>
      <w:proofErr w:type="spellEnd"/>
      <w:r w:rsidRPr="66E83D34">
        <w:t xml:space="preserve"> by abstracting the average of each count measured on the training set and scaled so that the data has a standard deviation of 1. Algorithm used was a multilayer perceptron. Training was performed on the training set with a k-fold resampling (with k = 5 and 10 repetitions with a stratification based on disease status) on a cluster computer using </w:t>
      </w:r>
      <w:r w:rsidRPr="008E2FB3">
        <w:rPr>
          <w:i/>
        </w:rPr>
        <w:t>R</w:t>
      </w:r>
      <w:r w:rsidRPr="66E83D34">
        <w:rPr>
          <w:i/>
          <w:iCs/>
        </w:rPr>
        <w:t xml:space="preserve"> </w:t>
      </w:r>
      <w:r w:rsidRPr="66E83D34">
        <w:t>(v4.2.2). Performances of the models were then measured of the test sets.</w:t>
      </w:r>
    </w:p>
    <w:p w14:paraId="24E670CF" w14:textId="77777777" w:rsidR="00ED2746" w:rsidRPr="004842C0" w:rsidRDefault="003C69B8" w:rsidP="004842C0">
      <w:pPr>
        <w:pStyle w:val="Heading2"/>
        <w:spacing w:line="480" w:lineRule="auto"/>
        <w:rPr>
          <w:b w:val="0"/>
          <w:bCs/>
          <w:u w:val="none"/>
          <w:lang w:val="en-US"/>
        </w:rPr>
      </w:pPr>
      <w:r w:rsidRPr="004842C0">
        <w:rPr>
          <w:b w:val="0"/>
          <w:bCs/>
          <w:u w:val="none"/>
          <w:lang w:val="en-US"/>
        </w:rPr>
        <w:lastRenderedPageBreak/>
        <w:t>To test for overfitting, we retrained NN models while iterating on the size of the training set (20 to 90% by step of 10). We then plotted the AUROC obtained with the entire training and test set (Supplementary Figure 3D).</w:t>
      </w:r>
    </w:p>
    <w:p w14:paraId="1ED3E566" w14:textId="6AA3B1BC" w:rsidR="004C0D18" w:rsidRPr="008300FC" w:rsidRDefault="004C0D18" w:rsidP="004E5AD4">
      <w:pPr>
        <w:pStyle w:val="Heading2"/>
        <w:rPr>
          <w:b w:val="0"/>
        </w:rPr>
      </w:pPr>
      <w:r w:rsidRPr="008300FC">
        <w:t>Result integration</w:t>
      </w:r>
    </w:p>
    <w:p w14:paraId="42143F10" w14:textId="77777777" w:rsidR="004C0D18" w:rsidRDefault="004C0D18" w:rsidP="004C0D18">
      <w:pPr>
        <w:spacing w:line="480" w:lineRule="auto"/>
        <w:jc w:val="both"/>
      </w:pPr>
      <w:r w:rsidRPr="66E83D34">
        <w:t xml:space="preserve">A list of possible gene target was created by getting the </w:t>
      </w:r>
      <w:r w:rsidRPr="78E5FAB1">
        <w:t>imputed</w:t>
      </w:r>
      <w:r w:rsidRPr="66E83D34">
        <w:t xml:space="preserve"> target of the 494 miRNAs on mirDIP (v</w:t>
      </w:r>
      <w:r>
        <w:t>5.2.3.1</w:t>
      </w:r>
      <w:r w:rsidRPr="66E83D34">
        <w:t xml:space="preserve">). This list of genes was then filtered to keep the genes </w:t>
      </w:r>
      <w:r w:rsidRPr="1FCA43F7">
        <w:t>expressed</w:t>
      </w:r>
      <w:r w:rsidRPr="66E83D34">
        <w:t xml:space="preserve"> in two tissues: whole blood and brain according to GTEx</w:t>
      </w:r>
      <w:r w:rsidRPr="3A78AF1A">
        <w:t xml:space="preserve"> </w:t>
      </w:r>
      <w:r w:rsidRPr="16E1A224">
        <w:t xml:space="preserve">Portal on </w:t>
      </w:r>
      <w:r w:rsidRPr="2F9B0C2B">
        <w:t>07/2023.</w:t>
      </w:r>
      <w:r w:rsidRPr="66E83D34">
        <w:t xml:space="preserve"> </w:t>
      </w:r>
      <w:r w:rsidRPr="56349D05">
        <w:t>The Genotype-Tissue Expression</w:t>
      </w:r>
      <w:r w:rsidRPr="44108198">
        <w:t xml:space="preserve"> </w:t>
      </w:r>
      <w:r w:rsidRPr="56349D05">
        <w:t xml:space="preserve">(GTEx) Project was supported by the Common Fund of the Office of the Director of </w:t>
      </w:r>
      <w:r w:rsidRPr="337A55B4">
        <w:t>the National</w:t>
      </w:r>
      <w:r w:rsidRPr="56349D05">
        <w:t xml:space="preserve"> Institutes of Health, and by NCI, NHGRI, NHLBI, NIDA, NIMH, and NINDS. </w:t>
      </w:r>
      <w:r w:rsidRPr="66E83D34">
        <w:t xml:space="preserve"> </w:t>
      </w:r>
      <w:r w:rsidRPr="008E2FB3">
        <w:t>For eac</w:t>
      </w:r>
      <w:r w:rsidRPr="66E83D34">
        <w:t>h analysis, the target genes corresponding to outlined miRNAs were extracted. We kept genes that were targeted in at least 2 analyses for the integration,</w:t>
      </w:r>
      <w:r>
        <w:t xml:space="preserve"> and we verified which were the 10 most targeted mRNA among the targets of all those genes</w:t>
      </w:r>
      <w:r w:rsidRPr="66E83D34" w:rsidDel="00A73425">
        <w:t>.</w:t>
      </w:r>
    </w:p>
    <w:p w14:paraId="1DC42DD1" w14:textId="77777777" w:rsidR="004C0D18" w:rsidRPr="008E2FB3" w:rsidRDefault="004C0D18" w:rsidP="004C0D18">
      <w:pPr>
        <w:spacing w:line="480" w:lineRule="auto"/>
        <w:jc w:val="both"/>
      </w:pPr>
      <w:r>
        <w:t>GO</w:t>
      </w:r>
      <w:r w:rsidRPr="300A2A88">
        <w:t xml:space="preserve"> were </w:t>
      </w:r>
      <w:r>
        <w:t>identified</w:t>
      </w:r>
      <w:r w:rsidRPr="300A2A88">
        <w:t xml:space="preserve"> using </w:t>
      </w:r>
      <w:proofErr w:type="spellStart"/>
      <w:r w:rsidRPr="008E2FB3">
        <w:rPr>
          <w:i/>
        </w:rPr>
        <w:t>topGO</w:t>
      </w:r>
      <w:proofErr w:type="spellEnd"/>
      <w:r w:rsidRPr="300A2A88">
        <w:rPr>
          <w:i/>
          <w:iCs/>
        </w:rPr>
        <w:t xml:space="preserve"> </w:t>
      </w:r>
      <w:r w:rsidRPr="008E2FB3">
        <w:t>package</w:t>
      </w:r>
      <w:r w:rsidRPr="300A2A88">
        <w:t xml:space="preserve"> (v2.52.0). </w:t>
      </w:r>
      <w:r>
        <w:t>They</w:t>
      </w:r>
      <w:r w:rsidRPr="300A2A88">
        <w:t xml:space="preserve"> were clustered using </w:t>
      </w:r>
      <w:proofErr w:type="spellStart"/>
      <w:r w:rsidRPr="008E2FB3">
        <w:rPr>
          <w:i/>
        </w:rPr>
        <w:t>simplifyEnrichment</w:t>
      </w:r>
      <w:proofErr w:type="spellEnd"/>
      <w:r w:rsidRPr="008E2FB3">
        <w:rPr>
          <w:i/>
        </w:rPr>
        <w:t xml:space="preserve"> </w:t>
      </w:r>
      <w:r w:rsidRPr="008E2FB3">
        <w:t xml:space="preserve">package </w:t>
      </w:r>
      <w:r w:rsidRPr="300A2A88">
        <w:rPr>
          <w:i/>
          <w:iCs/>
        </w:rPr>
        <w:t>(</w:t>
      </w:r>
      <w:r w:rsidRPr="300A2A88">
        <w:t xml:space="preserve">v1.10.0) with similarity computed by Wang algorithm and clustering by binary-cut algorithm. Clusters were named based on common parent </w:t>
      </w:r>
      <w:r>
        <w:t>GO</w:t>
      </w:r>
      <w:r w:rsidRPr="300A2A88">
        <w:t>. If names</w:t>
      </w:r>
      <w:r w:rsidRPr="300A2A88" w:rsidDel="00992816">
        <w:t xml:space="preserve"> </w:t>
      </w:r>
      <w:r w:rsidRPr="300A2A88">
        <w:t xml:space="preserve">were too broad, we specified it manually. Cluster composed of one GO were named after the GO. </w:t>
      </w:r>
    </w:p>
    <w:p w14:paraId="0A1E7F13" w14:textId="77777777" w:rsidR="004C0D18" w:rsidRDefault="004C0D18" w:rsidP="004C0D18">
      <w:pPr>
        <w:spacing w:line="480" w:lineRule="auto"/>
        <w:jc w:val="both"/>
      </w:pPr>
      <w:r>
        <w:t>PPI</w:t>
      </w:r>
      <w:r w:rsidRPr="66E83D34">
        <w:t xml:space="preserve"> data was obtained </w:t>
      </w:r>
      <w:r>
        <w:t xml:space="preserve">from the </w:t>
      </w:r>
      <w:r w:rsidRPr="66E83D34">
        <w:t>STRING-d</w:t>
      </w:r>
      <w:r>
        <w:t>ata</w:t>
      </w:r>
      <w:r w:rsidRPr="66E83D34">
        <w:t>b</w:t>
      </w:r>
      <w:r>
        <w:t>ase</w:t>
      </w:r>
      <w:r w:rsidRPr="66E83D34">
        <w:t xml:space="preserve"> (v</w:t>
      </w:r>
      <w:r>
        <w:t>12.0</w:t>
      </w:r>
      <w:r w:rsidRPr="66E83D34">
        <w:t xml:space="preserve">) with a confidence score of 0.7. </w:t>
      </w:r>
      <w:r w:rsidRPr="7C8D6C75">
        <w:t xml:space="preserve">A network was created from all genes contained in the 20 most significant </w:t>
      </w:r>
      <w:r>
        <w:t>GO</w:t>
      </w:r>
      <w:r w:rsidRPr="7C8D6C75">
        <w:t xml:space="preserve">. </w:t>
      </w:r>
      <w:r w:rsidRPr="66E83D34">
        <w:t xml:space="preserve">Disconnected nodes were removed from the data. </w:t>
      </w:r>
      <w:proofErr w:type="spellStart"/>
      <w:r w:rsidRPr="008E2FB3">
        <w:rPr>
          <w:i/>
        </w:rPr>
        <w:t>Igraph</w:t>
      </w:r>
      <w:proofErr w:type="spellEnd"/>
      <w:r w:rsidRPr="7C8D6C75">
        <w:rPr>
          <w:i/>
          <w:iCs/>
        </w:rPr>
        <w:t xml:space="preserve"> </w:t>
      </w:r>
      <w:r w:rsidRPr="7C8D6C75">
        <w:t xml:space="preserve">package (v1.5.1) with the </w:t>
      </w:r>
      <w:proofErr w:type="spellStart"/>
      <w:r w:rsidRPr="7C8D6C75">
        <w:t>Fruchterman</w:t>
      </w:r>
      <w:proofErr w:type="spellEnd"/>
      <w:r w:rsidRPr="7C8D6C75">
        <w:t xml:space="preserve">-Reingold algorithm was used to create the PPI for each </w:t>
      </w:r>
      <w:proofErr w:type="spellStart"/>
      <w:r w:rsidRPr="7C8D6C75">
        <w:t>broadgroup</w:t>
      </w:r>
      <w:proofErr w:type="spellEnd"/>
      <w:r w:rsidRPr="7C8D6C75">
        <w:t>.</w:t>
      </w:r>
    </w:p>
    <w:p w14:paraId="4EFDAEB4" w14:textId="77777777" w:rsidR="004C0D18" w:rsidRPr="008E2FB3" w:rsidRDefault="004C0D18" w:rsidP="004C0D18">
      <w:pPr>
        <w:spacing w:line="480" w:lineRule="auto"/>
        <w:jc w:val="both"/>
      </w:pPr>
      <w:r>
        <w:t>The m</w:t>
      </w:r>
      <w:r w:rsidRPr="66E83D34">
        <w:t xml:space="preserve">ost targeted genes </w:t>
      </w:r>
      <w:r>
        <w:t xml:space="preserve">(Figure 4G) </w:t>
      </w:r>
      <w:r w:rsidRPr="66E83D34">
        <w:t xml:space="preserve">were obtained by counting the number of miRNAs targeting </w:t>
      </w:r>
      <w:r>
        <w:t>each</w:t>
      </w:r>
      <w:r w:rsidRPr="66E83D34">
        <w:t xml:space="preserve"> gene.</w:t>
      </w:r>
    </w:p>
    <w:p w14:paraId="03632406" w14:textId="77777777" w:rsidR="004C0D18" w:rsidRPr="008300FC" w:rsidRDefault="004C0D18" w:rsidP="004E5AD4">
      <w:pPr>
        <w:pStyle w:val="Heading2"/>
        <w:rPr>
          <w:b w:val="0"/>
        </w:rPr>
      </w:pPr>
      <w:r w:rsidRPr="008300FC">
        <w:t xml:space="preserve">Gene expression validation </w:t>
      </w:r>
    </w:p>
    <w:p w14:paraId="0D699EAC" w14:textId="34BF845D" w:rsidR="004C0D18" w:rsidRDefault="004C0D18" w:rsidP="004C0D18">
      <w:pPr>
        <w:spacing w:line="480" w:lineRule="auto"/>
      </w:pPr>
      <w:r w:rsidRPr="00E37298">
        <w:t xml:space="preserve">We used PBMC transcriptomic data of the PsyCourse </w:t>
      </w:r>
      <w:r w:rsidR="009615B9">
        <w:t>Study</w:t>
      </w:r>
      <w:r w:rsidR="009615B9" w:rsidRPr="00E37298">
        <w:t xml:space="preserve"> </w:t>
      </w:r>
      <w:r w:rsidR="009615B9" w:rsidRPr="00E37298">
        <w:rPr>
          <w:rFonts w:asciiTheme="majorHAnsi" w:hAnsiTheme="majorHAnsi" w:cstheme="majorHAnsi"/>
          <w:lang w:val="en-US"/>
        </w:rPr>
        <w:t xml:space="preserve"> </w:t>
      </w:r>
      <w:r w:rsidRPr="00E37298">
        <w:rPr>
          <w:rFonts w:asciiTheme="majorHAnsi" w:hAnsiTheme="majorHAnsi" w:cstheme="majorHAnsi"/>
          <w:lang w:val="en-US"/>
        </w:rPr>
        <w:t xml:space="preserve">and asked for post-mortem brain transcriptomic data mRNA from Dorsolateral prefrontal cortex (release 4) and Anterior Cingulate </w:t>
      </w:r>
      <w:r w:rsidRPr="00E37298">
        <w:rPr>
          <w:rFonts w:asciiTheme="majorHAnsi" w:hAnsiTheme="majorHAnsi" w:cstheme="majorHAnsi"/>
          <w:lang w:val="en-US"/>
        </w:rPr>
        <w:lastRenderedPageBreak/>
        <w:t xml:space="preserve">Cortex (release 6) regions to the </w:t>
      </w:r>
      <w:proofErr w:type="spellStart"/>
      <w:r w:rsidRPr="00E37298">
        <w:rPr>
          <w:rFonts w:asciiTheme="majorHAnsi" w:hAnsiTheme="majorHAnsi" w:cstheme="majorHAnsi"/>
          <w:lang w:val="en-US"/>
        </w:rPr>
        <w:t>CommonMind</w:t>
      </w:r>
      <w:proofErr w:type="spellEnd"/>
      <w:r w:rsidRPr="00E37298">
        <w:rPr>
          <w:rFonts w:asciiTheme="majorHAnsi" w:hAnsiTheme="majorHAnsi" w:cstheme="majorHAnsi"/>
          <w:lang w:val="en-US"/>
        </w:rPr>
        <w:t xml:space="preserve"> consortium </w:t>
      </w:r>
      <w:r w:rsidRPr="00E37298">
        <w:rPr>
          <w:rFonts w:asciiTheme="majorHAnsi" w:hAnsiTheme="majorHAnsi" w:cstheme="majorHAnsi"/>
          <w:lang w:val="en-US"/>
        </w:rPr>
        <w:fldChar w:fldCharType="begin"/>
      </w:r>
      <w:r w:rsidR="00614CF6">
        <w:rPr>
          <w:rFonts w:asciiTheme="majorHAnsi" w:hAnsiTheme="majorHAnsi" w:cstheme="majorHAnsi"/>
          <w:lang w:val="en-US"/>
        </w:rPr>
        <w:instrText xml:space="preserve"> ADDIN ZOTERO_ITEM CSL_CITATION {"citationID":"59Qql2y1","properties":{"formattedCitation":"\\super 11\\nosupersub{}","plainCitation":"11","noteIndex":0},"citationItems":[{"id":699,"uris":["http://zotero.org/users/11797823/items/8XMYJR4F"],"itemData":{"id":699,"type":"article-journal","abstract":"Abstract\n            \n              Schizophrenia and bipolar disorder are serious mental illnesses that affect more than 2% of adults. While large-scale genetics studies have identified genomic regions associated with disease risk, less is known about the molecular mechanisms by which risk alleles with small effects lead to schizophrenia and bipolar disorder. In order to fill this gap between genetics and disease phenotype, we have undertaken a multi-cohort genomics study of postmortem brains from controls, individuals with schizophrenia and bipolar disorder. Here we present a public resource of functional genomic data from the dorsolateral prefrontal cortex (DLPFC; Brodmann areas 9 and 46) of 986 individuals from 4 separate brain banks, including 353 diagnosed with schizophrenia and 120 with bipolar disorder. The genomic data include RNA-seq and SNP genotypes on 980 individuals, and ATAC-seq on 269 individuals, of which 264 are a subset of individuals with RNA-seq. We have performed extensive preprocessing and quality control on these data so that the research community can take advantage of this public resource available on the Synapse platform at\n              http://CommonMind.org\n              .","container-title":"Scientific Data","DOI":"10.1038/s41597-019-0183-6","ISSN":"2052-4463","issue":"1","journalAbbreviation":"Sci Data","language":"en","page":"180","source":"DOI.org (Crossref)","title":"CommonMind Consortium provides transcriptomic and epigenomic data for Schizophrenia and Bipolar Disorder","volume":"6","author":[{"family":"Hoffman","given":"Gabriel E."},{"family":"Bendl","given":"Jaroslav"},{"family":"Voloudakis","given":"Georgios"},{"family":"Montgomery","given":"Kelsey S."},{"family":"Sloofman","given":"Laura"},{"family":"Wang","given":"Ying-Chih"},{"family":"Shah","given":"Hardik R."},{"family":"Hauberg","given":"Mads E."},{"family":"Johnson","given":"Jessica S."},{"family":"Girdhar","given":"Kiran"},{"family":"Song","given":"Lingyun"},{"family":"Fullard","given":"John F."},{"family":"Kramer","given":"Robin"},{"family":"Hahn","given":"Chang-Gyu"},{"family":"Gur","given":"Raquel"},{"family":"Marenco","given":"Stefano"},{"family":"Lipska","given":"Barbara K."},{"family":"Lewis","given":"David A."},{"family":"Haroutunian","given":"Vahram"},{"family":"Hemby","given":"Scott"},{"family":"Sullivan","given":"Patrick"},{"family":"Akbarian","given":"Schahram"},{"family":"Chess","given":"Andrew"},{"family":"Buxbaum","given":"Joseph D."},{"family":"Crawford","given":"Greg E."},{"family":"Domenici","given":"Enrico"},{"family":"Devlin","given":"Bernie"},{"family":"Sieberts","given":"Solveig K."},{"family":"Peters","given":"Mette A."},{"family":"Roussos","given":"Panos"}],"issued":{"date-parts":[["2019",9,24]]},"citation-key":"hoffmanCommonMindConsortiumProvides2019"}}],"schema":"https://github.com/citation-style-language/schema/raw/master/csl-citation.json"} </w:instrText>
      </w:r>
      <w:r w:rsidRPr="00E37298">
        <w:rPr>
          <w:rFonts w:asciiTheme="majorHAnsi" w:hAnsiTheme="majorHAnsi" w:cstheme="majorHAnsi"/>
          <w:lang w:val="en-US"/>
        </w:rPr>
        <w:fldChar w:fldCharType="separate"/>
      </w:r>
      <w:r w:rsidR="00614CF6" w:rsidRPr="00614CF6">
        <w:rPr>
          <w:rFonts w:ascii="Arial" w:hAnsi="Arial" w:cs="Arial"/>
          <w:kern w:val="0"/>
          <w:vertAlign w:val="superscript"/>
        </w:rPr>
        <w:t>11</w:t>
      </w:r>
      <w:r w:rsidRPr="00E37298">
        <w:rPr>
          <w:rFonts w:asciiTheme="majorHAnsi" w:hAnsiTheme="majorHAnsi" w:cstheme="majorHAnsi"/>
          <w:lang w:val="en-US"/>
        </w:rPr>
        <w:fldChar w:fldCharType="end"/>
      </w:r>
      <w:r w:rsidRPr="00E37298">
        <w:rPr>
          <w:rFonts w:asciiTheme="majorHAnsi" w:hAnsiTheme="majorHAnsi" w:cstheme="majorHAnsi"/>
          <w:lang w:val="en-US"/>
        </w:rPr>
        <w:t xml:space="preserve">. </w:t>
      </w:r>
      <w:r w:rsidRPr="00E37298">
        <w:t xml:space="preserve">For each dataset, we computed score of expression of each GO cluster for </w:t>
      </w:r>
      <w:proofErr w:type="gramStart"/>
      <w:r w:rsidRPr="00E37298">
        <w:t>each individual</w:t>
      </w:r>
      <w:proofErr w:type="gramEnd"/>
      <w:r w:rsidRPr="00E37298">
        <w:t xml:space="preserve"> as the mean of the Z-scores of the genes that compose the GO. We used student tests to compare the scores across the different broad diagnosis groups.</w:t>
      </w:r>
    </w:p>
    <w:p w14:paraId="0678F659" w14:textId="28C484FD" w:rsidR="008300FC" w:rsidRDefault="00A962F9" w:rsidP="004842C0">
      <w:pPr>
        <w:pStyle w:val="Heading2"/>
      </w:pPr>
      <w:r>
        <w:t>Gene Set Enrichment Analysis</w:t>
      </w:r>
      <w:r w:rsidR="00DF77DD">
        <w:t>:</w:t>
      </w:r>
    </w:p>
    <w:p w14:paraId="643BA4D1" w14:textId="62CCB07D" w:rsidR="00DF77DD" w:rsidRDefault="00DF77DD" w:rsidP="004842C0">
      <w:pPr>
        <w:spacing w:line="480" w:lineRule="auto"/>
        <w:jc w:val="both"/>
      </w:pPr>
      <w:r>
        <w:t xml:space="preserve">GSEA was </w:t>
      </w:r>
      <w:r w:rsidR="00612D10">
        <w:t>performed</w:t>
      </w:r>
      <w:r>
        <w:t xml:space="preserve"> using the miRNAs target genes as sets and a list of those target genes ranked according to the </w:t>
      </w:r>
      <w:r w:rsidR="005B5EEA">
        <w:t xml:space="preserve">negative log10 of the </w:t>
      </w:r>
      <w:r w:rsidR="00691B80">
        <w:t>p</w:t>
      </w:r>
      <w:r w:rsidR="003D147E">
        <w:t>-</w:t>
      </w:r>
      <w:r w:rsidR="00691B80">
        <w:t xml:space="preserve">value multiplied by the fold change of the differential gene expression analysis comparing control </w:t>
      </w:r>
      <w:r w:rsidR="004B0718">
        <w:t xml:space="preserve">to patients with bipolar disorders or </w:t>
      </w:r>
      <w:r w:rsidR="00BA52A9">
        <w:t>schizophrenia.</w:t>
      </w:r>
    </w:p>
    <w:p w14:paraId="2F61BAC3" w14:textId="77C5D1FF" w:rsidR="00BA52A9" w:rsidRDefault="00BA52A9" w:rsidP="004C0D18">
      <w:pPr>
        <w:spacing w:line="480" w:lineRule="auto"/>
      </w:pPr>
      <w:r>
        <w:t>Alluvial and correlation plot</w:t>
      </w:r>
      <w:r w:rsidR="00BB53A4">
        <w:t>s</w:t>
      </w:r>
      <w:r>
        <w:t>.</w:t>
      </w:r>
    </w:p>
    <w:p w14:paraId="2BAA078B" w14:textId="2A191440" w:rsidR="00E977D9" w:rsidRDefault="00E977D9" w:rsidP="004842C0">
      <w:pPr>
        <w:pStyle w:val="Heading2"/>
      </w:pPr>
      <w:r>
        <w:t>miRNA-mRNA expression correlation</w:t>
      </w:r>
    </w:p>
    <w:p w14:paraId="13515D7B" w14:textId="500FEFE2" w:rsidR="00BA52A9" w:rsidRDefault="00BA52A9">
      <w:pPr>
        <w:spacing w:line="480" w:lineRule="auto"/>
        <w:jc w:val="both"/>
      </w:pPr>
      <w:r>
        <w:t xml:space="preserve">We computed </w:t>
      </w:r>
      <w:r w:rsidR="00273B1F">
        <w:t>S</w:t>
      </w:r>
      <w:r w:rsidR="00982D01">
        <w:t>pearman</w:t>
      </w:r>
      <w:r w:rsidR="002509A3">
        <w:t xml:space="preserve"> correlation between miRNA </w:t>
      </w:r>
      <w:r w:rsidR="00BE3BE6">
        <w:t>expression and the corresponding mRNA expression of the same individuals. We filtered the correlation to identify</w:t>
      </w:r>
      <w:r w:rsidR="00BB53A4">
        <w:t>,</w:t>
      </w:r>
      <w:r w:rsidR="00BE3BE6">
        <w:t xml:space="preserve"> </w:t>
      </w:r>
      <w:r w:rsidR="00BB53A4">
        <w:t xml:space="preserve">in each of the “affective only” and “psychotic only” target genes </w:t>
      </w:r>
      <w:proofErr w:type="gramStart"/>
      <w:r w:rsidR="00BB53A4">
        <w:t>sets</w:t>
      </w:r>
      <w:proofErr w:type="gramEnd"/>
      <w:r w:rsidR="00BB53A4">
        <w:t xml:space="preserve">, the </w:t>
      </w:r>
      <w:r w:rsidR="00B63770">
        <w:t xml:space="preserve">pairs with the most negative correlation. We then represented those genes and the associated miRNA </w:t>
      </w:r>
      <w:r w:rsidR="00930BA3">
        <w:t xml:space="preserve">with </w:t>
      </w:r>
      <w:r w:rsidR="00273B1F">
        <w:t>alluvial</w:t>
      </w:r>
      <w:r w:rsidR="00930BA3">
        <w:t xml:space="preserve"> plot</w:t>
      </w:r>
      <w:r w:rsidR="00273B1F">
        <w:t>s</w:t>
      </w:r>
      <w:r w:rsidR="00930BA3">
        <w:t xml:space="preserve"> and scatters plot that compare the correlations</w:t>
      </w:r>
      <w:r w:rsidR="009857D3">
        <w:t xml:space="preserve"> for the different categories </w:t>
      </w:r>
      <w:r w:rsidR="00AF3351">
        <w:t>affective, psychotic, and control.</w:t>
      </w:r>
    </w:p>
    <w:p w14:paraId="5161F1FD" w14:textId="0A797EE0" w:rsidR="00D3560C" w:rsidRPr="004842C0" w:rsidRDefault="00D3560C" w:rsidP="00D3560C">
      <w:pPr>
        <w:pStyle w:val="Heading2"/>
        <w:rPr>
          <w:lang w:val="en-US"/>
        </w:rPr>
      </w:pPr>
      <w:r w:rsidRPr="004842C0">
        <w:rPr>
          <w:lang w:val="en-US"/>
        </w:rPr>
        <w:t>Statistical tests</w:t>
      </w:r>
    </w:p>
    <w:p w14:paraId="664CA3CA" w14:textId="739DA736" w:rsidR="00D3560C" w:rsidRPr="004842C0" w:rsidRDefault="00D3560C" w:rsidP="004842C0">
      <w:pPr>
        <w:spacing w:line="480" w:lineRule="auto"/>
        <w:rPr>
          <w:lang w:val="en-US"/>
        </w:rPr>
      </w:pPr>
      <w:r w:rsidRPr="00D3560C">
        <w:t>All Fisher and Wilcoxon tests used a "two sided" alternative. P-values of all analysis were adjusted using the Benjamini-Hochberg method.</w:t>
      </w:r>
    </w:p>
    <w:p w14:paraId="404022D5" w14:textId="4934EF94" w:rsidR="008300FC" w:rsidRPr="00E977D9" w:rsidRDefault="008300FC" w:rsidP="008300FC">
      <w:pPr>
        <w:pStyle w:val="Heading1"/>
        <w:rPr>
          <w:lang w:val="fr-FR"/>
        </w:rPr>
      </w:pPr>
      <w:proofErr w:type="spellStart"/>
      <w:r w:rsidRPr="00E977D9">
        <w:rPr>
          <w:lang w:val="fr-FR"/>
        </w:rPr>
        <w:t>References</w:t>
      </w:r>
      <w:proofErr w:type="spellEnd"/>
    </w:p>
    <w:p w14:paraId="1FE86708" w14:textId="77777777" w:rsidR="004C0D18" w:rsidRPr="00E977D9" w:rsidRDefault="004C0D18">
      <w:pPr>
        <w:rPr>
          <w:lang w:val="fr-FR"/>
        </w:rPr>
      </w:pPr>
    </w:p>
    <w:p w14:paraId="7A1C6345" w14:textId="77777777" w:rsidR="00614CF6" w:rsidRPr="00614CF6" w:rsidRDefault="008300FC" w:rsidP="00614CF6">
      <w:pPr>
        <w:pStyle w:val="Bibliography"/>
        <w:rPr>
          <w:rFonts w:ascii="Aptos" w:hAnsi="Aptos"/>
        </w:rPr>
      </w:pPr>
      <w:r>
        <w:fldChar w:fldCharType="begin"/>
      </w:r>
      <w:r w:rsidRPr="00F36DC5">
        <w:rPr>
          <w:lang w:val="fr-FR"/>
        </w:rPr>
        <w:instrText xml:space="preserve"> ADDIN ZOTERO_BIBL {"uncited":[],"omitted":[],"custom":[]} CSL_BIBLIOGRAPHY </w:instrText>
      </w:r>
      <w:r>
        <w:fldChar w:fldCharType="separate"/>
      </w:r>
      <w:r w:rsidR="00614CF6" w:rsidRPr="00F36DC5">
        <w:rPr>
          <w:rFonts w:ascii="Aptos" w:hAnsi="Aptos"/>
          <w:lang w:val="fr-FR"/>
        </w:rPr>
        <w:t>1.</w:t>
      </w:r>
      <w:r w:rsidR="00614CF6" w:rsidRPr="00F36DC5">
        <w:rPr>
          <w:rFonts w:ascii="Aptos" w:hAnsi="Aptos"/>
          <w:lang w:val="fr-FR"/>
        </w:rPr>
        <w:tab/>
        <w:t xml:space="preserve">Das, S. </w:t>
      </w:r>
      <w:r w:rsidR="00614CF6" w:rsidRPr="00F36DC5">
        <w:rPr>
          <w:rFonts w:ascii="Aptos" w:hAnsi="Aptos"/>
          <w:i/>
          <w:iCs/>
          <w:lang w:val="fr-FR"/>
        </w:rPr>
        <w:t>et al.</w:t>
      </w:r>
      <w:r w:rsidR="00614CF6" w:rsidRPr="00F36DC5">
        <w:rPr>
          <w:rFonts w:ascii="Aptos" w:hAnsi="Aptos"/>
          <w:lang w:val="fr-FR"/>
        </w:rPr>
        <w:t xml:space="preserve"> </w:t>
      </w:r>
      <w:r w:rsidR="00614CF6" w:rsidRPr="00614CF6">
        <w:rPr>
          <w:rFonts w:ascii="Aptos" w:hAnsi="Aptos"/>
        </w:rPr>
        <w:t xml:space="preserve">Next-generation genotype imputation service and methods. </w:t>
      </w:r>
      <w:r w:rsidR="00614CF6" w:rsidRPr="00614CF6">
        <w:rPr>
          <w:rFonts w:ascii="Aptos" w:hAnsi="Aptos"/>
          <w:i/>
          <w:iCs/>
        </w:rPr>
        <w:t>Nat. Genet.</w:t>
      </w:r>
      <w:r w:rsidR="00614CF6" w:rsidRPr="00614CF6">
        <w:rPr>
          <w:rFonts w:ascii="Aptos" w:hAnsi="Aptos"/>
        </w:rPr>
        <w:t xml:space="preserve"> </w:t>
      </w:r>
      <w:r w:rsidR="00614CF6" w:rsidRPr="00614CF6">
        <w:rPr>
          <w:rFonts w:ascii="Aptos" w:hAnsi="Aptos"/>
          <w:b/>
          <w:bCs/>
        </w:rPr>
        <w:t>48</w:t>
      </w:r>
      <w:r w:rsidR="00614CF6" w:rsidRPr="00614CF6">
        <w:rPr>
          <w:rFonts w:ascii="Aptos" w:hAnsi="Aptos"/>
        </w:rPr>
        <w:t>, 1284–1287 (2016).</w:t>
      </w:r>
    </w:p>
    <w:p w14:paraId="2E1943A1" w14:textId="77777777" w:rsidR="00614CF6" w:rsidRPr="00614CF6" w:rsidRDefault="00614CF6" w:rsidP="00614CF6">
      <w:pPr>
        <w:pStyle w:val="Bibliography"/>
        <w:rPr>
          <w:rFonts w:ascii="Aptos" w:hAnsi="Aptos"/>
        </w:rPr>
      </w:pPr>
      <w:r w:rsidRPr="00614CF6">
        <w:rPr>
          <w:rFonts w:ascii="Aptos" w:hAnsi="Aptos"/>
        </w:rPr>
        <w:t>2.</w:t>
      </w:r>
      <w:r w:rsidRPr="00614CF6">
        <w:rPr>
          <w:rFonts w:ascii="Aptos" w:hAnsi="Aptos"/>
        </w:rPr>
        <w:tab/>
        <w:t xml:space="preserve">the Haplotype Reference Consortium. A reference panel of 64,976 haplotypes for genotype imputation. </w:t>
      </w:r>
      <w:r w:rsidRPr="00614CF6">
        <w:rPr>
          <w:rFonts w:ascii="Aptos" w:hAnsi="Aptos"/>
          <w:i/>
          <w:iCs/>
        </w:rPr>
        <w:t>Nat. Genet.</w:t>
      </w:r>
      <w:r w:rsidRPr="00614CF6">
        <w:rPr>
          <w:rFonts w:ascii="Aptos" w:hAnsi="Aptos"/>
        </w:rPr>
        <w:t xml:space="preserve"> </w:t>
      </w:r>
      <w:r w:rsidRPr="00614CF6">
        <w:rPr>
          <w:rFonts w:ascii="Aptos" w:hAnsi="Aptos"/>
          <w:b/>
          <w:bCs/>
        </w:rPr>
        <w:t>48</w:t>
      </w:r>
      <w:r w:rsidRPr="00614CF6">
        <w:rPr>
          <w:rFonts w:ascii="Aptos" w:hAnsi="Aptos"/>
        </w:rPr>
        <w:t>, 1279–1283 (2016).</w:t>
      </w:r>
    </w:p>
    <w:p w14:paraId="1A44512E" w14:textId="77777777" w:rsidR="00614CF6" w:rsidRPr="00614CF6" w:rsidRDefault="00614CF6" w:rsidP="00614CF6">
      <w:pPr>
        <w:pStyle w:val="Bibliography"/>
        <w:rPr>
          <w:rFonts w:ascii="Aptos" w:hAnsi="Aptos"/>
        </w:rPr>
      </w:pPr>
      <w:r w:rsidRPr="00614CF6">
        <w:rPr>
          <w:rFonts w:ascii="Aptos" w:hAnsi="Aptos"/>
        </w:rPr>
        <w:lastRenderedPageBreak/>
        <w:t>3.</w:t>
      </w:r>
      <w:r w:rsidRPr="00614CF6">
        <w:rPr>
          <w:rFonts w:ascii="Aptos" w:hAnsi="Aptos"/>
        </w:rPr>
        <w:tab/>
        <w:t xml:space="preserve">Kaurani, L. </w:t>
      </w:r>
      <w:r w:rsidRPr="00614CF6">
        <w:rPr>
          <w:rFonts w:ascii="Aptos" w:hAnsi="Aptos"/>
          <w:i/>
          <w:iCs/>
        </w:rPr>
        <w:t>et al.</w:t>
      </w:r>
      <w:r w:rsidRPr="00614CF6">
        <w:rPr>
          <w:rFonts w:ascii="Aptos" w:hAnsi="Aptos"/>
        </w:rPr>
        <w:t xml:space="preserve"> </w:t>
      </w:r>
      <w:r w:rsidRPr="00614CF6">
        <w:rPr>
          <w:rFonts w:ascii="Aptos" w:hAnsi="Aptos"/>
          <w:i/>
          <w:iCs/>
        </w:rPr>
        <w:t xml:space="preserve">A Novel miR-99b-5p- </w:t>
      </w:r>
      <w:r w:rsidRPr="00614CF6">
        <w:rPr>
          <w:rFonts w:ascii="Aptos" w:hAnsi="Aptos"/>
        </w:rPr>
        <w:t>Zbp1</w:t>
      </w:r>
      <w:r w:rsidRPr="00614CF6">
        <w:rPr>
          <w:rFonts w:ascii="Aptos" w:hAnsi="Aptos"/>
          <w:i/>
          <w:iCs/>
        </w:rPr>
        <w:t xml:space="preserve"> Pathway in Microglia Contributes to the Pathogenesis of Schizophrenia</w:t>
      </w:r>
      <w:r w:rsidRPr="00614CF6">
        <w:rPr>
          <w:rFonts w:ascii="Aptos" w:hAnsi="Aptos"/>
        </w:rPr>
        <w:t>. http://biorxiv.org/lookup/doi/10.1101/2023.03.21.533602 (2023) doi:10.1101/2023.03.21.533602.</w:t>
      </w:r>
    </w:p>
    <w:p w14:paraId="49EB1572" w14:textId="77777777" w:rsidR="00614CF6" w:rsidRPr="00614CF6" w:rsidRDefault="00614CF6" w:rsidP="00614CF6">
      <w:pPr>
        <w:pStyle w:val="Bibliography"/>
        <w:rPr>
          <w:rFonts w:ascii="Aptos" w:hAnsi="Aptos"/>
        </w:rPr>
      </w:pPr>
      <w:r w:rsidRPr="00DD0461">
        <w:rPr>
          <w:rFonts w:ascii="Aptos" w:hAnsi="Aptos"/>
          <w:lang w:val="fr-FR"/>
        </w:rPr>
        <w:t>4.</w:t>
      </w:r>
      <w:r w:rsidRPr="00DD0461">
        <w:rPr>
          <w:rFonts w:ascii="Aptos" w:hAnsi="Aptos"/>
          <w:lang w:val="fr-FR"/>
        </w:rPr>
        <w:tab/>
        <w:t xml:space="preserve">Islam, M. R. </w:t>
      </w:r>
      <w:r w:rsidRPr="00DD0461">
        <w:rPr>
          <w:rFonts w:ascii="Aptos" w:hAnsi="Aptos"/>
          <w:i/>
          <w:iCs/>
          <w:lang w:val="fr-FR"/>
        </w:rPr>
        <w:t>et al.</w:t>
      </w:r>
      <w:r w:rsidRPr="00DD0461">
        <w:rPr>
          <w:rFonts w:ascii="Aptos" w:hAnsi="Aptos"/>
          <w:lang w:val="fr-FR"/>
        </w:rPr>
        <w:t xml:space="preserve"> </w:t>
      </w:r>
      <w:r w:rsidRPr="00614CF6">
        <w:rPr>
          <w:rFonts w:ascii="Aptos" w:hAnsi="Aptos"/>
        </w:rPr>
        <w:t xml:space="preserve">A microRNA signature that correlates with cognition and is a target against cognitive decline. </w:t>
      </w:r>
      <w:r w:rsidRPr="00614CF6">
        <w:rPr>
          <w:rFonts w:ascii="Aptos" w:hAnsi="Aptos"/>
          <w:i/>
          <w:iCs/>
        </w:rPr>
        <w:t>EMBO Mol. Med.</w:t>
      </w:r>
      <w:r w:rsidRPr="00614CF6">
        <w:rPr>
          <w:rFonts w:ascii="Aptos" w:hAnsi="Aptos"/>
        </w:rPr>
        <w:t xml:space="preserve"> </w:t>
      </w:r>
      <w:r w:rsidRPr="00614CF6">
        <w:rPr>
          <w:rFonts w:ascii="Aptos" w:hAnsi="Aptos"/>
          <w:b/>
          <w:bCs/>
        </w:rPr>
        <w:t>13</w:t>
      </w:r>
      <w:r w:rsidRPr="00614CF6">
        <w:rPr>
          <w:rFonts w:ascii="Aptos" w:hAnsi="Aptos"/>
        </w:rPr>
        <w:t>, e13659 (2021).</w:t>
      </w:r>
    </w:p>
    <w:p w14:paraId="5AA2980B" w14:textId="77777777" w:rsidR="00614CF6" w:rsidRPr="00614CF6" w:rsidRDefault="00614CF6" w:rsidP="00614CF6">
      <w:pPr>
        <w:pStyle w:val="Bibliography"/>
        <w:rPr>
          <w:rFonts w:ascii="Aptos" w:hAnsi="Aptos"/>
        </w:rPr>
      </w:pPr>
      <w:r w:rsidRPr="00614CF6">
        <w:rPr>
          <w:rFonts w:ascii="Aptos" w:hAnsi="Aptos"/>
        </w:rPr>
        <w:t>5.</w:t>
      </w:r>
      <w:r w:rsidRPr="00614CF6">
        <w:rPr>
          <w:rFonts w:ascii="Aptos" w:hAnsi="Aptos"/>
        </w:rPr>
        <w:tab/>
        <w:t xml:space="preserve">Kang, W. </w:t>
      </w:r>
      <w:r w:rsidRPr="00614CF6">
        <w:rPr>
          <w:rFonts w:ascii="Aptos" w:hAnsi="Aptos"/>
          <w:i/>
          <w:iCs/>
        </w:rPr>
        <w:t>et al.</w:t>
      </w:r>
      <w:r w:rsidRPr="00614CF6">
        <w:rPr>
          <w:rFonts w:ascii="Aptos" w:hAnsi="Aptos"/>
        </w:rPr>
        <w:t xml:space="preserve"> miRTrace reveals the organismal origins of microRNA sequencing data. </w:t>
      </w:r>
      <w:r w:rsidRPr="00614CF6">
        <w:rPr>
          <w:rFonts w:ascii="Aptos" w:hAnsi="Aptos"/>
          <w:i/>
          <w:iCs/>
        </w:rPr>
        <w:t>Genome Biol.</w:t>
      </w:r>
      <w:r w:rsidRPr="00614CF6">
        <w:rPr>
          <w:rFonts w:ascii="Aptos" w:hAnsi="Aptos"/>
        </w:rPr>
        <w:t xml:space="preserve"> </w:t>
      </w:r>
      <w:r w:rsidRPr="00614CF6">
        <w:rPr>
          <w:rFonts w:ascii="Aptos" w:hAnsi="Aptos"/>
          <w:b/>
          <w:bCs/>
        </w:rPr>
        <w:t>19</w:t>
      </w:r>
      <w:r w:rsidRPr="00614CF6">
        <w:rPr>
          <w:rFonts w:ascii="Aptos" w:hAnsi="Aptos"/>
        </w:rPr>
        <w:t>, 213 (2018).</w:t>
      </w:r>
    </w:p>
    <w:p w14:paraId="2AAFD1D6" w14:textId="77777777" w:rsidR="00614CF6" w:rsidRPr="00614CF6" w:rsidRDefault="00614CF6" w:rsidP="00614CF6">
      <w:pPr>
        <w:pStyle w:val="Bibliography"/>
        <w:rPr>
          <w:rFonts w:ascii="Aptos" w:hAnsi="Aptos"/>
        </w:rPr>
      </w:pPr>
      <w:r w:rsidRPr="00614CF6">
        <w:rPr>
          <w:rFonts w:ascii="Aptos" w:hAnsi="Aptos"/>
        </w:rPr>
        <w:t>6.</w:t>
      </w:r>
      <w:r w:rsidRPr="00614CF6">
        <w:rPr>
          <w:rFonts w:ascii="Aptos" w:hAnsi="Aptos"/>
        </w:rPr>
        <w:tab/>
        <w:t xml:space="preserve">Chaumette, T. </w:t>
      </w:r>
      <w:r w:rsidRPr="00614CF6">
        <w:rPr>
          <w:rFonts w:ascii="Aptos" w:hAnsi="Aptos"/>
          <w:i/>
          <w:iCs/>
        </w:rPr>
        <w:t>et al.</w:t>
      </w:r>
      <w:r w:rsidRPr="00614CF6">
        <w:rPr>
          <w:rFonts w:ascii="Aptos" w:hAnsi="Aptos"/>
        </w:rPr>
        <w:t xml:space="preserve"> Monocyte Signature Associated with Herpes Simplex Virus Reactivation and Neurological Recovery After Brain Injury. </w:t>
      </w:r>
      <w:r w:rsidRPr="00614CF6">
        <w:rPr>
          <w:rFonts w:ascii="Aptos" w:hAnsi="Aptos"/>
          <w:i/>
          <w:iCs/>
        </w:rPr>
        <w:t>Am. J. Respir. Crit. Care Med.</w:t>
      </w:r>
      <w:r w:rsidRPr="00614CF6">
        <w:rPr>
          <w:rFonts w:ascii="Aptos" w:hAnsi="Aptos"/>
        </w:rPr>
        <w:t xml:space="preserve"> (2022) doi:10.1164/rccm.202110-2324OC.</w:t>
      </w:r>
    </w:p>
    <w:p w14:paraId="3611D18A" w14:textId="77777777" w:rsidR="00614CF6" w:rsidRPr="00614CF6" w:rsidRDefault="00614CF6" w:rsidP="00614CF6">
      <w:pPr>
        <w:pStyle w:val="Bibliography"/>
        <w:rPr>
          <w:rFonts w:ascii="Aptos" w:hAnsi="Aptos"/>
        </w:rPr>
      </w:pPr>
      <w:r w:rsidRPr="00614CF6">
        <w:rPr>
          <w:rFonts w:ascii="Aptos" w:hAnsi="Aptos"/>
        </w:rPr>
        <w:t>7.</w:t>
      </w:r>
      <w:r w:rsidRPr="00614CF6">
        <w:rPr>
          <w:rFonts w:ascii="Aptos" w:hAnsi="Aptos"/>
        </w:rPr>
        <w:tab/>
        <w:t xml:space="preserve">Charpentier, E. </w:t>
      </w:r>
      <w:r w:rsidRPr="00614CF6">
        <w:rPr>
          <w:rFonts w:ascii="Aptos" w:hAnsi="Aptos"/>
          <w:i/>
          <w:iCs/>
        </w:rPr>
        <w:t>et al.</w:t>
      </w:r>
      <w:r w:rsidRPr="00614CF6">
        <w:rPr>
          <w:rFonts w:ascii="Aptos" w:hAnsi="Aptos"/>
        </w:rPr>
        <w:t xml:space="preserve"> </w:t>
      </w:r>
      <w:r w:rsidRPr="00614CF6">
        <w:rPr>
          <w:rFonts w:ascii="Aptos" w:hAnsi="Aptos"/>
          <w:i/>
          <w:iCs/>
        </w:rPr>
        <w:t>3’ RNA Sequencing for Robust and Low-Cost Gene Expression Profiling</w:t>
      </w:r>
      <w:r w:rsidRPr="00614CF6">
        <w:rPr>
          <w:rFonts w:ascii="Aptos" w:hAnsi="Aptos"/>
        </w:rPr>
        <w:t>. https://protocolexchange.researchsquare.com/article/pex-1336/v1 (2021) doi:10.21203/rs.3.pex-1336/v1.</w:t>
      </w:r>
    </w:p>
    <w:p w14:paraId="64A069F5" w14:textId="77777777" w:rsidR="00614CF6" w:rsidRPr="00614CF6" w:rsidRDefault="00614CF6" w:rsidP="00614CF6">
      <w:pPr>
        <w:pStyle w:val="Bibliography"/>
        <w:rPr>
          <w:rFonts w:ascii="Aptos" w:hAnsi="Aptos"/>
        </w:rPr>
      </w:pPr>
      <w:r w:rsidRPr="00614CF6">
        <w:rPr>
          <w:rFonts w:ascii="Aptos" w:hAnsi="Aptos"/>
        </w:rPr>
        <w:t>8.</w:t>
      </w:r>
      <w:r w:rsidRPr="00614CF6">
        <w:rPr>
          <w:rFonts w:ascii="Aptos" w:hAnsi="Aptos"/>
        </w:rPr>
        <w:tab/>
        <w:t xml:space="preserve">The Schizophrenia Working Group of the Psychiatric Genomics Consortium, Ripke, S., Walters, J. T. &amp; O’Donovan, M. C. </w:t>
      </w:r>
      <w:r w:rsidRPr="00614CF6">
        <w:rPr>
          <w:rFonts w:ascii="Aptos" w:hAnsi="Aptos"/>
          <w:i/>
          <w:iCs/>
        </w:rPr>
        <w:t>Mapping Genomic Loci Prioritises Genes and Implicates Synaptic Biology in Schizophrenia</w:t>
      </w:r>
      <w:r w:rsidRPr="00614CF6">
        <w:rPr>
          <w:rFonts w:ascii="Aptos" w:hAnsi="Aptos"/>
        </w:rPr>
        <w:t>. http://medrxiv.org/lookup/doi/10.1101/2020.09.12.20192922 (2020) doi:10.1101/2020.09.12.20192922.</w:t>
      </w:r>
    </w:p>
    <w:p w14:paraId="790DB923" w14:textId="77777777" w:rsidR="00614CF6" w:rsidRPr="00614CF6" w:rsidRDefault="00614CF6" w:rsidP="00614CF6">
      <w:pPr>
        <w:pStyle w:val="Bibliography"/>
        <w:rPr>
          <w:rFonts w:ascii="Aptos" w:hAnsi="Aptos"/>
        </w:rPr>
      </w:pPr>
      <w:r w:rsidRPr="00614CF6">
        <w:rPr>
          <w:rFonts w:ascii="Aptos" w:hAnsi="Aptos"/>
        </w:rPr>
        <w:t>9.</w:t>
      </w:r>
      <w:r w:rsidRPr="00614CF6">
        <w:rPr>
          <w:rFonts w:ascii="Aptos" w:hAnsi="Aptos"/>
        </w:rPr>
        <w:tab/>
        <w:t xml:space="preserve">Mullins, N. </w:t>
      </w:r>
      <w:r w:rsidRPr="00614CF6">
        <w:rPr>
          <w:rFonts w:ascii="Aptos" w:hAnsi="Aptos"/>
          <w:i/>
          <w:iCs/>
        </w:rPr>
        <w:t>et al.</w:t>
      </w:r>
      <w:r w:rsidRPr="00614CF6">
        <w:rPr>
          <w:rFonts w:ascii="Aptos" w:hAnsi="Aptos"/>
        </w:rPr>
        <w:t xml:space="preserve"> Genome-wide association study of more than 40,000 bipolar disorder cases provides new insights into the underlying biology. </w:t>
      </w:r>
      <w:r w:rsidRPr="00614CF6">
        <w:rPr>
          <w:rFonts w:ascii="Aptos" w:hAnsi="Aptos"/>
          <w:i/>
          <w:iCs/>
        </w:rPr>
        <w:t>Nat. Genet.</w:t>
      </w:r>
      <w:r w:rsidRPr="00614CF6">
        <w:rPr>
          <w:rFonts w:ascii="Aptos" w:hAnsi="Aptos"/>
        </w:rPr>
        <w:t xml:space="preserve"> </w:t>
      </w:r>
      <w:r w:rsidRPr="00614CF6">
        <w:rPr>
          <w:rFonts w:ascii="Aptos" w:hAnsi="Aptos"/>
          <w:b/>
          <w:bCs/>
        </w:rPr>
        <w:t>53</w:t>
      </w:r>
      <w:r w:rsidRPr="00614CF6">
        <w:rPr>
          <w:rFonts w:ascii="Aptos" w:hAnsi="Aptos"/>
        </w:rPr>
        <w:t>, 817–829 (2021).</w:t>
      </w:r>
    </w:p>
    <w:p w14:paraId="1E846B74" w14:textId="77777777" w:rsidR="00614CF6" w:rsidRPr="00614CF6" w:rsidRDefault="00614CF6" w:rsidP="00614CF6">
      <w:pPr>
        <w:pStyle w:val="Bibliography"/>
        <w:rPr>
          <w:rFonts w:ascii="Aptos" w:hAnsi="Aptos"/>
        </w:rPr>
      </w:pPr>
      <w:r w:rsidRPr="00614CF6">
        <w:rPr>
          <w:rFonts w:ascii="Aptos" w:hAnsi="Aptos"/>
        </w:rPr>
        <w:t>10.</w:t>
      </w:r>
      <w:r w:rsidRPr="00614CF6">
        <w:rPr>
          <w:rFonts w:ascii="Aptos" w:hAnsi="Aptos"/>
        </w:rPr>
        <w:tab/>
        <w:t xml:space="preserve">Hornik, K., Stinchcombe, M. &amp; White, H. Multilayer feedforward networks are universal approximators. </w:t>
      </w:r>
      <w:r w:rsidRPr="00614CF6">
        <w:rPr>
          <w:rFonts w:ascii="Aptos" w:hAnsi="Aptos"/>
          <w:i/>
          <w:iCs/>
        </w:rPr>
        <w:t>Neural Netw.</w:t>
      </w:r>
      <w:r w:rsidRPr="00614CF6">
        <w:rPr>
          <w:rFonts w:ascii="Aptos" w:hAnsi="Aptos"/>
        </w:rPr>
        <w:t xml:space="preserve"> </w:t>
      </w:r>
      <w:r w:rsidRPr="00614CF6">
        <w:rPr>
          <w:rFonts w:ascii="Aptos" w:hAnsi="Aptos"/>
          <w:b/>
          <w:bCs/>
        </w:rPr>
        <w:t>2</w:t>
      </w:r>
      <w:r w:rsidRPr="00614CF6">
        <w:rPr>
          <w:rFonts w:ascii="Aptos" w:hAnsi="Aptos"/>
        </w:rPr>
        <w:t>, 359–366 (1989).</w:t>
      </w:r>
    </w:p>
    <w:p w14:paraId="591AFECE" w14:textId="77777777" w:rsidR="00614CF6" w:rsidRPr="00614CF6" w:rsidRDefault="00614CF6" w:rsidP="00614CF6">
      <w:pPr>
        <w:pStyle w:val="Bibliography"/>
        <w:rPr>
          <w:rFonts w:ascii="Aptos" w:hAnsi="Aptos"/>
        </w:rPr>
      </w:pPr>
      <w:r w:rsidRPr="00614CF6">
        <w:rPr>
          <w:rFonts w:ascii="Aptos" w:hAnsi="Aptos"/>
        </w:rPr>
        <w:t>11.</w:t>
      </w:r>
      <w:r w:rsidRPr="00614CF6">
        <w:rPr>
          <w:rFonts w:ascii="Aptos" w:hAnsi="Aptos"/>
        </w:rPr>
        <w:tab/>
        <w:t xml:space="preserve">Hoffman, G. E. </w:t>
      </w:r>
      <w:r w:rsidRPr="00614CF6">
        <w:rPr>
          <w:rFonts w:ascii="Aptos" w:hAnsi="Aptos"/>
          <w:i/>
          <w:iCs/>
        </w:rPr>
        <w:t>et al.</w:t>
      </w:r>
      <w:r w:rsidRPr="00614CF6">
        <w:rPr>
          <w:rFonts w:ascii="Aptos" w:hAnsi="Aptos"/>
        </w:rPr>
        <w:t xml:space="preserve"> CommonMind Consortium provides transcriptomic and epigenomic data for Schizophrenia and Bipolar Disorder. </w:t>
      </w:r>
      <w:r w:rsidRPr="00614CF6">
        <w:rPr>
          <w:rFonts w:ascii="Aptos" w:hAnsi="Aptos"/>
          <w:i/>
          <w:iCs/>
        </w:rPr>
        <w:t>Sci. Data</w:t>
      </w:r>
      <w:r w:rsidRPr="00614CF6">
        <w:rPr>
          <w:rFonts w:ascii="Aptos" w:hAnsi="Aptos"/>
        </w:rPr>
        <w:t xml:space="preserve"> </w:t>
      </w:r>
      <w:r w:rsidRPr="00614CF6">
        <w:rPr>
          <w:rFonts w:ascii="Aptos" w:hAnsi="Aptos"/>
          <w:b/>
          <w:bCs/>
        </w:rPr>
        <w:t>6</w:t>
      </w:r>
      <w:r w:rsidRPr="00614CF6">
        <w:rPr>
          <w:rFonts w:ascii="Aptos" w:hAnsi="Aptos"/>
        </w:rPr>
        <w:t>, 180 (2019).</w:t>
      </w:r>
    </w:p>
    <w:p w14:paraId="73EAB17D" w14:textId="69940E56" w:rsidR="008300FC" w:rsidRDefault="008300FC">
      <w:r>
        <w:fldChar w:fldCharType="end"/>
      </w:r>
    </w:p>
    <w:sectPr w:rsidR="008300FC" w:rsidSect="004842C0">
      <w:pgSz w:w="11906" w:h="16838"/>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D18"/>
    <w:rsid w:val="000D26BA"/>
    <w:rsid w:val="000E2473"/>
    <w:rsid w:val="000F4663"/>
    <w:rsid w:val="00110251"/>
    <w:rsid w:val="00124C8C"/>
    <w:rsid w:val="00173A86"/>
    <w:rsid w:val="001B673A"/>
    <w:rsid w:val="0020105B"/>
    <w:rsid w:val="0021207D"/>
    <w:rsid w:val="002509A3"/>
    <w:rsid w:val="002623DA"/>
    <w:rsid w:val="00273B1F"/>
    <w:rsid w:val="00326626"/>
    <w:rsid w:val="003C3530"/>
    <w:rsid w:val="003C69B8"/>
    <w:rsid w:val="003D147E"/>
    <w:rsid w:val="003E0A7B"/>
    <w:rsid w:val="00410AEA"/>
    <w:rsid w:val="004842C0"/>
    <w:rsid w:val="004B0718"/>
    <w:rsid w:val="004B5F05"/>
    <w:rsid w:val="004C0D18"/>
    <w:rsid w:val="004E5AD4"/>
    <w:rsid w:val="00515D0F"/>
    <w:rsid w:val="00525A3C"/>
    <w:rsid w:val="005267EB"/>
    <w:rsid w:val="00534CC2"/>
    <w:rsid w:val="00543594"/>
    <w:rsid w:val="005B5EEA"/>
    <w:rsid w:val="00612D10"/>
    <w:rsid w:val="00614CF6"/>
    <w:rsid w:val="00676C0D"/>
    <w:rsid w:val="00686E11"/>
    <w:rsid w:val="00691B80"/>
    <w:rsid w:val="0077275F"/>
    <w:rsid w:val="007D2C9D"/>
    <w:rsid w:val="007F2D83"/>
    <w:rsid w:val="00803857"/>
    <w:rsid w:val="008300FC"/>
    <w:rsid w:val="008552E3"/>
    <w:rsid w:val="00857B4A"/>
    <w:rsid w:val="008618B8"/>
    <w:rsid w:val="0087573B"/>
    <w:rsid w:val="00930BA3"/>
    <w:rsid w:val="009615B9"/>
    <w:rsid w:val="00982D01"/>
    <w:rsid w:val="009857D3"/>
    <w:rsid w:val="00992ED1"/>
    <w:rsid w:val="009A1611"/>
    <w:rsid w:val="009B024D"/>
    <w:rsid w:val="009B6429"/>
    <w:rsid w:val="00A10074"/>
    <w:rsid w:val="00A56745"/>
    <w:rsid w:val="00A712F9"/>
    <w:rsid w:val="00A87D78"/>
    <w:rsid w:val="00A962F9"/>
    <w:rsid w:val="00AC45FE"/>
    <w:rsid w:val="00AF3351"/>
    <w:rsid w:val="00B063D8"/>
    <w:rsid w:val="00B26C17"/>
    <w:rsid w:val="00B40BA8"/>
    <w:rsid w:val="00B63770"/>
    <w:rsid w:val="00BA52A9"/>
    <w:rsid w:val="00BB53A4"/>
    <w:rsid w:val="00BC6DD7"/>
    <w:rsid w:val="00BE3BE6"/>
    <w:rsid w:val="00C06420"/>
    <w:rsid w:val="00C20CB9"/>
    <w:rsid w:val="00CA5723"/>
    <w:rsid w:val="00D03360"/>
    <w:rsid w:val="00D066A1"/>
    <w:rsid w:val="00D12071"/>
    <w:rsid w:val="00D3560C"/>
    <w:rsid w:val="00D83969"/>
    <w:rsid w:val="00DA15B5"/>
    <w:rsid w:val="00DD0461"/>
    <w:rsid w:val="00DE0850"/>
    <w:rsid w:val="00DF77DD"/>
    <w:rsid w:val="00E472BF"/>
    <w:rsid w:val="00E6251D"/>
    <w:rsid w:val="00E75C5B"/>
    <w:rsid w:val="00E977D9"/>
    <w:rsid w:val="00ED2746"/>
    <w:rsid w:val="00F36DC5"/>
    <w:rsid w:val="00F455B1"/>
    <w:rsid w:val="00F5729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A70B8"/>
  <w15:chartTrackingRefBased/>
  <w15:docId w15:val="{7FD0ED9D-9BE0-43EC-8B70-BC4E551E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0D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03360"/>
    <w:pPr>
      <w:keepNext/>
      <w:keepLines/>
      <w:spacing w:before="160" w:after="80"/>
      <w:outlineLvl w:val="1"/>
    </w:pPr>
    <w:rPr>
      <w:rFonts w:asciiTheme="majorHAnsi" w:eastAsiaTheme="majorEastAsia" w:hAnsiTheme="majorHAnsi" w:cstheme="majorBidi"/>
      <w:b/>
      <w:color w:val="000000" w:themeColor="text1"/>
      <w:sz w:val="24"/>
      <w:szCs w:val="32"/>
      <w:u w:val="single"/>
    </w:rPr>
  </w:style>
  <w:style w:type="paragraph" w:styleId="Heading3">
    <w:name w:val="heading 3"/>
    <w:basedOn w:val="Normal"/>
    <w:next w:val="Normal"/>
    <w:link w:val="Heading3Char"/>
    <w:uiPriority w:val="9"/>
    <w:semiHidden/>
    <w:unhideWhenUsed/>
    <w:qFormat/>
    <w:rsid w:val="004C0D1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0D1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0D1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0D1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0D1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0D1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0D1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ar"/>
    <w:autoRedefine/>
    <w:qFormat/>
    <w:rsid w:val="00B26C17"/>
    <w:rPr>
      <w:color w:val="FF0000"/>
    </w:rPr>
  </w:style>
  <w:style w:type="character" w:customStyle="1" w:styleId="Style1Car">
    <w:name w:val="Style1 Car"/>
    <w:basedOn w:val="DefaultParagraphFont"/>
    <w:link w:val="Style1"/>
    <w:rsid w:val="00B26C17"/>
    <w:rPr>
      <w:color w:val="FF0000"/>
    </w:rPr>
  </w:style>
  <w:style w:type="character" w:customStyle="1" w:styleId="Heading1Char">
    <w:name w:val="Heading 1 Char"/>
    <w:basedOn w:val="DefaultParagraphFont"/>
    <w:link w:val="Heading1"/>
    <w:uiPriority w:val="9"/>
    <w:rsid w:val="004C0D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03360"/>
    <w:rPr>
      <w:rFonts w:asciiTheme="majorHAnsi" w:eastAsiaTheme="majorEastAsia" w:hAnsiTheme="majorHAnsi" w:cstheme="majorBidi"/>
      <w:b/>
      <w:color w:val="000000" w:themeColor="text1"/>
      <w:sz w:val="24"/>
      <w:szCs w:val="32"/>
      <w:u w:val="single"/>
    </w:rPr>
  </w:style>
  <w:style w:type="character" w:customStyle="1" w:styleId="Heading3Char">
    <w:name w:val="Heading 3 Char"/>
    <w:basedOn w:val="DefaultParagraphFont"/>
    <w:link w:val="Heading3"/>
    <w:uiPriority w:val="9"/>
    <w:semiHidden/>
    <w:rsid w:val="004C0D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0D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0D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0D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0D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0D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0D18"/>
    <w:rPr>
      <w:rFonts w:eastAsiaTheme="majorEastAsia" w:cstheme="majorBidi"/>
      <w:color w:val="272727" w:themeColor="text1" w:themeTint="D8"/>
    </w:rPr>
  </w:style>
  <w:style w:type="paragraph" w:styleId="Title">
    <w:name w:val="Title"/>
    <w:basedOn w:val="Normal"/>
    <w:next w:val="Normal"/>
    <w:link w:val="TitleChar"/>
    <w:uiPriority w:val="10"/>
    <w:qFormat/>
    <w:rsid w:val="004C0D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0D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0D1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0D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0D18"/>
    <w:pPr>
      <w:spacing w:before="160"/>
      <w:jc w:val="center"/>
    </w:pPr>
    <w:rPr>
      <w:i/>
      <w:iCs/>
      <w:color w:val="404040" w:themeColor="text1" w:themeTint="BF"/>
    </w:rPr>
  </w:style>
  <w:style w:type="character" w:customStyle="1" w:styleId="QuoteChar">
    <w:name w:val="Quote Char"/>
    <w:basedOn w:val="DefaultParagraphFont"/>
    <w:link w:val="Quote"/>
    <w:uiPriority w:val="29"/>
    <w:rsid w:val="004C0D18"/>
    <w:rPr>
      <w:i/>
      <w:iCs/>
      <w:color w:val="404040" w:themeColor="text1" w:themeTint="BF"/>
    </w:rPr>
  </w:style>
  <w:style w:type="paragraph" w:styleId="ListParagraph">
    <w:name w:val="List Paragraph"/>
    <w:basedOn w:val="Normal"/>
    <w:uiPriority w:val="34"/>
    <w:qFormat/>
    <w:rsid w:val="004C0D18"/>
    <w:pPr>
      <w:ind w:left="720"/>
      <w:contextualSpacing/>
    </w:pPr>
  </w:style>
  <w:style w:type="character" w:styleId="IntenseEmphasis">
    <w:name w:val="Intense Emphasis"/>
    <w:basedOn w:val="DefaultParagraphFont"/>
    <w:uiPriority w:val="21"/>
    <w:qFormat/>
    <w:rsid w:val="004C0D18"/>
    <w:rPr>
      <w:i/>
      <w:iCs/>
      <w:color w:val="0F4761" w:themeColor="accent1" w:themeShade="BF"/>
    </w:rPr>
  </w:style>
  <w:style w:type="paragraph" w:styleId="IntenseQuote">
    <w:name w:val="Intense Quote"/>
    <w:basedOn w:val="Normal"/>
    <w:next w:val="Normal"/>
    <w:link w:val="IntenseQuoteChar"/>
    <w:uiPriority w:val="30"/>
    <w:qFormat/>
    <w:rsid w:val="004C0D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0D18"/>
    <w:rPr>
      <w:i/>
      <w:iCs/>
      <w:color w:val="0F4761" w:themeColor="accent1" w:themeShade="BF"/>
    </w:rPr>
  </w:style>
  <w:style w:type="character" w:styleId="IntenseReference">
    <w:name w:val="Intense Reference"/>
    <w:basedOn w:val="DefaultParagraphFont"/>
    <w:uiPriority w:val="32"/>
    <w:qFormat/>
    <w:rsid w:val="004C0D18"/>
    <w:rPr>
      <w:b/>
      <w:bCs/>
      <w:smallCaps/>
      <w:color w:val="0F4761" w:themeColor="accent1" w:themeShade="BF"/>
      <w:spacing w:val="5"/>
    </w:rPr>
  </w:style>
  <w:style w:type="paragraph" w:styleId="CommentText">
    <w:name w:val="annotation text"/>
    <w:basedOn w:val="Normal"/>
    <w:link w:val="CommentTextChar"/>
    <w:uiPriority w:val="99"/>
    <w:unhideWhenUsed/>
    <w:rsid w:val="004C0D18"/>
    <w:pPr>
      <w:spacing w:after="200" w:line="240" w:lineRule="auto"/>
    </w:pPr>
    <w:rPr>
      <w:kern w:val="0"/>
      <w:sz w:val="20"/>
      <w:szCs w:val="20"/>
      <w:lang w:val="fr-FR"/>
      <w14:ligatures w14:val="none"/>
    </w:rPr>
  </w:style>
  <w:style w:type="character" w:customStyle="1" w:styleId="CommentTextChar">
    <w:name w:val="Comment Text Char"/>
    <w:basedOn w:val="DefaultParagraphFont"/>
    <w:link w:val="CommentText"/>
    <w:uiPriority w:val="99"/>
    <w:rsid w:val="004C0D18"/>
    <w:rPr>
      <w:kern w:val="0"/>
      <w:sz w:val="20"/>
      <w:szCs w:val="20"/>
      <w:lang w:val="fr-FR"/>
      <w14:ligatures w14:val="none"/>
    </w:rPr>
  </w:style>
  <w:style w:type="character" w:styleId="CommentReference">
    <w:name w:val="annotation reference"/>
    <w:basedOn w:val="DefaultParagraphFont"/>
    <w:uiPriority w:val="99"/>
    <w:semiHidden/>
    <w:unhideWhenUsed/>
    <w:rsid w:val="004C0D18"/>
    <w:rPr>
      <w:sz w:val="16"/>
      <w:szCs w:val="16"/>
    </w:rPr>
  </w:style>
  <w:style w:type="paragraph" w:styleId="NormalWeb">
    <w:name w:val="Normal (Web)"/>
    <w:basedOn w:val="Normal"/>
    <w:uiPriority w:val="99"/>
    <w:unhideWhenUsed/>
    <w:qFormat/>
    <w:rsid w:val="004C0D18"/>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paragraph" w:customStyle="1" w:styleId="docdata">
    <w:name w:val="docdata"/>
    <w:aliases w:val="docy,v5,8787,bqiaagaaeaauaaagpbqaaaorhwaabbkfaaaaaaaaaaaaaaaaaaaaaaaaaaaaaaaaaaaaaaaaaaaaaaaaaaaaaaaaaaaaaaaaaaaaaaaaaaaaaaaaaaaaaaaaaaaaaaaaaaaaaaaaaaaaaaaaaaaaaaaaaaaaaaaaaaaaaaaaaaaaaaaaaaaaaaaaaaaaaaaaaaaaaaaaaaaaaaaaaaaaaaaaaaaaaaaaaaaaaaaa"/>
    <w:basedOn w:val="Normal"/>
    <w:rsid w:val="004C0D1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Bibliography">
    <w:name w:val="Bibliography"/>
    <w:basedOn w:val="Normal"/>
    <w:next w:val="Normal"/>
    <w:uiPriority w:val="37"/>
    <w:unhideWhenUsed/>
    <w:rsid w:val="008300FC"/>
    <w:pPr>
      <w:tabs>
        <w:tab w:val="left" w:pos="264"/>
      </w:tabs>
      <w:spacing w:after="0" w:line="480" w:lineRule="auto"/>
      <w:ind w:left="264" w:hanging="264"/>
    </w:pPr>
  </w:style>
  <w:style w:type="paragraph" w:styleId="Revision">
    <w:name w:val="Revision"/>
    <w:hidden/>
    <w:uiPriority w:val="99"/>
    <w:semiHidden/>
    <w:rsid w:val="004B5F05"/>
    <w:pPr>
      <w:spacing w:after="0" w:line="240" w:lineRule="auto"/>
    </w:pPr>
  </w:style>
  <w:style w:type="character" w:styleId="LineNumber">
    <w:name w:val="line number"/>
    <w:basedOn w:val="DefaultParagraphFont"/>
    <w:uiPriority w:val="99"/>
    <w:semiHidden/>
    <w:unhideWhenUsed/>
    <w:rsid w:val="00DA1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96105-2CE9-4981-90C9-839D70B60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8162</Words>
  <Characters>44892</Characters>
  <Application>Microsoft Office Word</Application>
  <DocSecurity>0</DocSecurity>
  <Lines>374</Lines>
  <Paragraphs>105</Paragraphs>
  <ScaleCrop>false</ScaleCrop>
  <Company/>
  <LinksUpToDate>false</LinksUpToDate>
  <CharactersWithSpaces>52949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Solomon</dc:creator>
  <cp:keywords/>
  <dc:description/>
  <cp:lastModifiedBy>jeremie poschmann</cp:lastModifiedBy>
  <cp:revision>5</cp:revision>
  <dcterms:created xsi:type="dcterms:W3CDTF">2024-12-10T12:39:00Z</dcterms:created>
  <dcterms:modified xsi:type="dcterms:W3CDTF">2024-12-10T13:00:00Z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id="EfFLRz5n"/&gt;&lt;style id="http://www.zotero.org/styles/nature" hasBibliography="1" bibliographyStyleHasBeenSet="1"/&gt;&lt;prefs&gt;&lt;pref name="fieldType" value="Field"/&gt;&lt;pref name="automaticJournalAbbreviati</vt:lpwstr>
  </property>
  <property fmtid="{D5CDD505-2E9C-101B-9397-08002B2CF9AE}" pid="3" name="ZOTERO_PREF_2">
    <vt:lpwstr>ons" value="true"/&gt;&lt;/prefs&gt;&lt;/data&gt;</vt:lpwstr>
  </property>
</Properties>
</file>