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FB4501" w:rsidRPr="0090076D" w:rsidRDefault="0090076D" w:rsidP="008F17C0">
      <w:pPr>
        <w:spacing w:after="200" w:line="360" w:lineRule="auto"/>
        <w:jc w:val="both"/>
        <w:rPr>
          <w:rFonts w:ascii="Arial" w:eastAsia="Times New Roman" w:hAnsi="Arial" w:cs="Arial"/>
          <w:b/>
          <w:bCs/>
          <w:color w:val="0D0D0D"/>
          <w:kern w:val="0"/>
          <w:sz w:val="28"/>
          <w:szCs w:val="28"/>
          <w:shd w:val="clear" w:color="auto" w:fill="FFFFFF"/>
          <w:lang w:eastAsia="en-GB"/>
          <w14:ligatures w14:val="none"/>
        </w:rPr>
      </w:pPr>
      <w:r w:rsidRPr="0090076D">
        <w:rPr>
          <w:rFonts w:ascii="Arial" w:eastAsia="Times New Roman" w:hAnsi="Arial" w:cs="Arial"/>
          <w:b/>
          <w:bCs/>
          <w:color w:val="0D0D0D"/>
          <w:kern w:val="0"/>
          <w:sz w:val="28"/>
          <w:szCs w:val="28"/>
          <w:shd w:val="clear" w:color="auto" w:fill="FFFFFF"/>
          <w:lang w:eastAsia="en-GB"/>
          <w14:ligatures w14:val="none"/>
        </w:rPr>
        <w:t>Supplemental Figures</w:t>
      </w:r>
    </w:p>
    <w:p w:rsidR="0090076D" w:rsidRPr="0066655B" w:rsidRDefault="0090076D" w:rsidP="008F17C0">
      <w:pPr>
        <w:spacing w:after="200" w:line="360" w:lineRule="auto"/>
        <w:jc w:val="both"/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</w:pPr>
      <w:r w:rsidRPr="0090076D"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t>Supplemental Figure 1 (Fig. S1).</w:t>
      </w:r>
    </w:p>
    <w:p w:rsidR="00175F41" w:rsidRPr="0066655B" w:rsidRDefault="00FB4501" w:rsidP="0066655B">
      <w:pPr>
        <w:spacing w:after="200" w:line="360" w:lineRule="auto"/>
        <w:jc w:val="both"/>
        <w:rPr>
          <w:rFonts w:ascii="Arial" w:eastAsia="Times New Roman" w:hAnsi="Arial" w:cs="Arial"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</w:pPr>
      <w:r w:rsidRPr="009D1EBB">
        <w:rPr>
          <w:rFonts w:ascii="Arial" w:eastAsia="Times New Roman" w:hAnsi="Arial" w:cs="Arial"/>
          <w:b/>
          <w:bCs/>
          <w:noProof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drawing>
          <wp:anchor distT="0" distB="0" distL="114300" distR="114300" simplePos="0" relativeHeight="251658240" behindDoc="0" locked="0" layoutInCell="1" allowOverlap="1" wp14:anchorId="534BAD25">
            <wp:simplePos x="0" y="0"/>
            <wp:positionH relativeFrom="column">
              <wp:posOffset>0</wp:posOffset>
            </wp:positionH>
            <wp:positionV relativeFrom="paragraph">
              <wp:posOffset>-381635</wp:posOffset>
            </wp:positionV>
            <wp:extent cx="3344545" cy="8440420"/>
            <wp:effectExtent l="0" t="0" r="0" b="0"/>
            <wp:wrapSquare wrapText="bothSides"/>
            <wp:docPr id="150937924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937924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344545" cy="84404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6655B" w:rsidRPr="0066655B"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t>a.</w:t>
      </w:r>
      <w:r w:rsidR="0066655B">
        <w:rPr>
          <w:rFonts w:ascii="Arial" w:eastAsia="Times New Roman" w:hAnsi="Arial" w:cs="Arial"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t xml:space="preserve"> </w:t>
      </w:r>
      <w:r w:rsidR="0090076D" w:rsidRPr="0066655B">
        <w:rPr>
          <w:rFonts w:ascii="Arial" w:eastAsia="Times New Roman" w:hAnsi="Arial" w:cs="Arial"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t xml:space="preserve">Bar chart depicting the </w:t>
      </w:r>
      <w:r w:rsidR="00280FD5" w:rsidRPr="0066655B">
        <w:rPr>
          <w:rFonts w:ascii="Arial" w:eastAsia="Times New Roman" w:hAnsi="Arial" w:cs="Arial"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t xml:space="preserve">mean </w:t>
      </w:r>
      <w:r w:rsidR="0090076D" w:rsidRPr="0066655B">
        <w:rPr>
          <w:rFonts w:ascii="Arial" w:eastAsia="Times New Roman" w:hAnsi="Arial" w:cs="Arial"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t xml:space="preserve">normalized expression of the lncRNA </w:t>
      </w:r>
      <w:r w:rsidR="00280FD5" w:rsidRPr="0066655B">
        <w:rPr>
          <w:rFonts w:ascii="Arial" w:eastAsia="Times New Roman" w:hAnsi="Arial" w:cs="Arial"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t>s</w:t>
      </w:r>
      <w:r w:rsidR="0090076D" w:rsidRPr="0066655B">
        <w:rPr>
          <w:rFonts w:ascii="Arial" w:eastAsia="Times New Roman" w:hAnsi="Arial" w:cs="Arial"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t xml:space="preserve">enriched in astrocytes as </w:t>
      </w:r>
      <w:r w:rsidR="00280FD5" w:rsidRPr="0066655B">
        <w:rPr>
          <w:rFonts w:ascii="Arial" w:eastAsia="Times New Roman" w:hAnsi="Arial" w:cs="Arial"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t>shown</w:t>
      </w:r>
      <w:r w:rsidR="0090076D" w:rsidRPr="0066655B">
        <w:rPr>
          <w:rFonts w:ascii="Arial" w:eastAsia="Times New Roman" w:hAnsi="Arial" w:cs="Arial"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t xml:space="preserve"> in Fig 1C. The data shows the expression in astrocytes. Note that</w:t>
      </w:r>
      <w:r w:rsidR="00280FD5" w:rsidRPr="0066655B">
        <w:rPr>
          <w:rFonts w:ascii="Arial" w:eastAsia="Times New Roman" w:hAnsi="Arial" w:cs="Arial"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t xml:space="preserve"> lncRNAs </w:t>
      </w:r>
      <w:r w:rsidR="00280FD5" w:rsidRPr="0066655B">
        <w:rPr>
          <w:rFonts w:ascii="Arial" w:eastAsia="Times New Roman" w:hAnsi="Arial" w:cs="Arial"/>
          <w:i/>
          <w:i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t>AL590617.2</w:t>
      </w:r>
      <w:r w:rsidR="00280FD5" w:rsidRPr="0066655B">
        <w:rPr>
          <w:rFonts w:ascii="Arial" w:eastAsia="Times New Roman" w:hAnsi="Arial" w:cs="Arial"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t xml:space="preserve">, </w:t>
      </w:r>
      <w:r w:rsidR="00280FD5" w:rsidRPr="0066655B">
        <w:rPr>
          <w:rFonts w:ascii="Arial" w:eastAsia="Times New Roman" w:hAnsi="Arial" w:cs="Arial"/>
          <w:i/>
          <w:i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t>VAC14-AS1</w:t>
      </w:r>
      <w:r w:rsidR="00280FD5" w:rsidRPr="0066655B">
        <w:rPr>
          <w:rFonts w:ascii="Arial" w:eastAsia="Times New Roman" w:hAnsi="Arial" w:cs="Arial"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t xml:space="preserve"> and </w:t>
      </w:r>
      <w:r w:rsidR="00280FD5" w:rsidRPr="0066655B">
        <w:rPr>
          <w:rFonts w:ascii="Arial" w:eastAsia="Times New Roman" w:hAnsi="Arial" w:cs="Arial"/>
          <w:i/>
          <w:i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t xml:space="preserve">PRDM16-DT </w:t>
      </w:r>
      <w:r w:rsidR="00280FD5" w:rsidRPr="0066655B">
        <w:rPr>
          <w:rFonts w:ascii="Arial" w:eastAsia="Times New Roman" w:hAnsi="Arial" w:cs="Arial"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t xml:space="preserve">show the highest expression levels when compared to the other lncRNAs. </w:t>
      </w:r>
      <w:r w:rsidR="0066655B"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t>b</w:t>
      </w:r>
      <w:r w:rsidR="00280FD5" w:rsidRPr="0066655B"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t>.</w:t>
      </w:r>
      <w:r w:rsidR="00280FD5" w:rsidRPr="0066655B">
        <w:rPr>
          <w:rFonts w:ascii="Arial" w:eastAsia="Times New Roman" w:hAnsi="Arial" w:cs="Arial"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t xml:space="preserve"> Violin plots showing the normalized expression of the lncRNAs depicted in panel A (except PRMD16-DT which is shown in Fig. 1D). Note the expression in astrocytes characterized by the maker gene AQP4.</w:t>
      </w:r>
    </w:p>
    <w:p w:rsidR="0090076D" w:rsidRPr="0090076D" w:rsidRDefault="0090076D" w:rsidP="008F17C0">
      <w:pPr>
        <w:spacing w:after="200" w:line="360" w:lineRule="auto"/>
        <w:jc w:val="both"/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</w:pPr>
    </w:p>
    <w:p w:rsidR="0090076D" w:rsidRDefault="0090076D" w:rsidP="008F17C0">
      <w:pPr>
        <w:spacing w:after="200" w:line="360" w:lineRule="auto"/>
        <w:jc w:val="both"/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</w:pPr>
    </w:p>
    <w:p w:rsidR="0090076D" w:rsidRDefault="0090076D" w:rsidP="008F17C0">
      <w:pPr>
        <w:spacing w:after="200" w:line="360" w:lineRule="auto"/>
        <w:jc w:val="both"/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</w:pPr>
    </w:p>
    <w:p w:rsidR="0090076D" w:rsidRDefault="0090076D" w:rsidP="008F17C0">
      <w:pPr>
        <w:spacing w:after="200" w:line="360" w:lineRule="auto"/>
        <w:jc w:val="both"/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</w:pPr>
    </w:p>
    <w:p w:rsidR="0090076D" w:rsidRDefault="0090076D" w:rsidP="008F17C0">
      <w:pPr>
        <w:spacing w:after="200" w:line="360" w:lineRule="auto"/>
        <w:jc w:val="both"/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</w:pPr>
    </w:p>
    <w:p w:rsidR="0090076D" w:rsidRDefault="0090076D" w:rsidP="008F17C0">
      <w:pPr>
        <w:spacing w:after="200" w:line="360" w:lineRule="auto"/>
        <w:jc w:val="both"/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</w:pPr>
    </w:p>
    <w:p w:rsidR="0090076D" w:rsidRDefault="0090076D" w:rsidP="008F17C0">
      <w:pPr>
        <w:spacing w:after="200" w:line="360" w:lineRule="auto"/>
        <w:jc w:val="both"/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</w:pPr>
    </w:p>
    <w:p w:rsidR="0090076D" w:rsidRDefault="0090076D" w:rsidP="008F17C0">
      <w:pPr>
        <w:spacing w:after="200" w:line="360" w:lineRule="auto"/>
        <w:jc w:val="both"/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</w:pPr>
    </w:p>
    <w:p w:rsidR="0090076D" w:rsidRDefault="0090076D" w:rsidP="008F17C0">
      <w:pPr>
        <w:spacing w:after="200" w:line="360" w:lineRule="auto"/>
        <w:jc w:val="both"/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</w:pPr>
    </w:p>
    <w:p w:rsidR="0090076D" w:rsidRDefault="0090076D" w:rsidP="008F17C0">
      <w:pPr>
        <w:spacing w:after="200" w:line="360" w:lineRule="auto"/>
        <w:jc w:val="both"/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</w:pPr>
    </w:p>
    <w:p w:rsidR="0090076D" w:rsidRDefault="0090076D" w:rsidP="008F17C0">
      <w:pPr>
        <w:spacing w:after="200" w:line="360" w:lineRule="auto"/>
        <w:jc w:val="both"/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</w:pPr>
    </w:p>
    <w:p w:rsidR="003731C5" w:rsidRDefault="003731C5" w:rsidP="008F17C0">
      <w:pPr>
        <w:jc w:val="both"/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</w:pPr>
      <w:r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br w:type="page"/>
      </w:r>
    </w:p>
    <w:p w:rsidR="0090076D" w:rsidRDefault="00856D3E" w:rsidP="008F17C0">
      <w:pPr>
        <w:spacing w:after="200" w:line="360" w:lineRule="auto"/>
        <w:jc w:val="both"/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</w:pPr>
      <w:r w:rsidRPr="0090076D"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lastRenderedPageBreak/>
        <w:t xml:space="preserve">Supplemental Figure </w:t>
      </w:r>
      <w:r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t>2</w:t>
      </w:r>
      <w:r w:rsidR="008F17C0"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t xml:space="preserve"> </w:t>
      </w:r>
      <w:r w:rsidRPr="0090076D"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t>(Fig. S</w:t>
      </w:r>
      <w:r w:rsidR="003731C5"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t>2</w:t>
      </w:r>
      <w:r w:rsidRPr="0090076D"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t>)</w:t>
      </w:r>
    </w:p>
    <w:p w:rsidR="0090076D" w:rsidRDefault="00856D3E" w:rsidP="008F17C0">
      <w:pPr>
        <w:spacing w:after="200" w:line="360" w:lineRule="auto"/>
        <w:jc w:val="center"/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</w:pPr>
      <w:r w:rsidRPr="00856D3E">
        <w:rPr>
          <w:rFonts w:ascii="Arial" w:eastAsia="Times New Roman" w:hAnsi="Arial" w:cs="Arial"/>
          <w:b/>
          <w:bCs/>
          <w:noProof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drawing>
          <wp:inline distT="0" distB="0" distL="0" distR="0" wp14:anchorId="1D967570" wp14:editId="6FF34315">
            <wp:extent cx="1879600" cy="3048000"/>
            <wp:effectExtent l="0" t="0" r="0" b="0"/>
            <wp:docPr id="184883688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8836888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8796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076D" w:rsidRPr="00856D3E" w:rsidRDefault="0090076D" w:rsidP="008F17C0">
      <w:pPr>
        <w:spacing w:after="200" w:line="360" w:lineRule="auto"/>
        <w:jc w:val="both"/>
        <w:rPr>
          <w:rFonts w:eastAsia="Times New Roman" w:cstheme="minorHAnsi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</w:pPr>
    </w:p>
    <w:p w:rsidR="00856D3E" w:rsidRPr="008F17C0" w:rsidRDefault="00856D3E" w:rsidP="008F17C0">
      <w:pPr>
        <w:spacing w:after="200" w:line="360" w:lineRule="auto"/>
        <w:jc w:val="both"/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</w:pPr>
      <w:r w:rsidRPr="0090076D"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t>Fig</w:t>
      </w:r>
      <w:r w:rsidR="008F17C0"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t>.</w:t>
      </w:r>
      <w:r w:rsidRPr="0090076D"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t xml:space="preserve"> S</w:t>
      </w:r>
      <w:r w:rsidRPr="008F17C0"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t>2</w:t>
      </w:r>
      <w:r w:rsidRPr="0090076D"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t>:</w:t>
      </w:r>
      <w:r w:rsidRPr="0090076D">
        <w:rPr>
          <w:rFonts w:ascii="Arial" w:eastAsia="Times New Roman" w:hAnsi="Arial" w:cs="Arial"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t xml:space="preserve"> </w:t>
      </w:r>
      <w:r w:rsidRPr="008F17C0">
        <w:rPr>
          <w:rFonts w:ascii="Arial" w:hAnsi="Arial" w:cs="Arial"/>
          <w:color w:val="000000"/>
          <w:sz w:val="22"/>
          <w:szCs w:val="22"/>
        </w:rPr>
        <w:t xml:space="preserve">Bar plot showing </w:t>
      </w:r>
      <w:r w:rsidRPr="008F17C0">
        <w:rPr>
          <w:rFonts w:ascii="Arial" w:hAnsi="Arial" w:cs="Arial"/>
          <w:i/>
          <w:iCs/>
          <w:color w:val="000000"/>
          <w:sz w:val="22"/>
          <w:szCs w:val="22"/>
        </w:rPr>
        <w:t xml:space="preserve">Prdm16os </w:t>
      </w:r>
      <w:r w:rsidRPr="008F17C0">
        <w:rPr>
          <w:rFonts w:ascii="Arial" w:hAnsi="Arial" w:cs="Arial"/>
          <w:color w:val="000000"/>
          <w:sz w:val="22"/>
          <w:szCs w:val="22"/>
        </w:rPr>
        <w:t xml:space="preserve">expression in mouse astrocytes after treatment with tau fibrils compared to the corresponding vehicle control. (ns = not significant, unpaired t-Test). </w:t>
      </w:r>
      <w:r w:rsidRPr="008F17C0">
        <w:rPr>
          <w:rFonts w:ascii="Arial" w:hAnsi="Arial" w:cs="Arial"/>
          <w:i/>
          <w:iCs/>
          <w:color w:val="000000"/>
          <w:sz w:val="22"/>
          <w:szCs w:val="22"/>
        </w:rPr>
        <w:t>Prdm16os</w:t>
      </w:r>
      <w:r w:rsidRPr="008F17C0">
        <w:rPr>
          <w:rFonts w:ascii="Arial" w:hAnsi="Arial" w:cs="Arial"/>
          <w:color w:val="000000"/>
          <w:sz w:val="22"/>
          <w:szCs w:val="22"/>
        </w:rPr>
        <w:t xml:space="preserve"> expression was normalized to </w:t>
      </w:r>
      <w:r w:rsidRPr="008F17C0">
        <w:rPr>
          <w:rFonts w:ascii="Arial" w:hAnsi="Arial" w:cs="Arial"/>
          <w:i/>
          <w:iCs/>
          <w:color w:val="000000"/>
          <w:sz w:val="22"/>
          <w:szCs w:val="22"/>
        </w:rPr>
        <w:t>18S</w:t>
      </w:r>
      <w:r w:rsidRPr="008F17C0">
        <w:rPr>
          <w:rFonts w:ascii="Arial" w:hAnsi="Arial" w:cs="Arial"/>
          <w:color w:val="000000"/>
          <w:sz w:val="22"/>
          <w:szCs w:val="22"/>
        </w:rPr>
        <w:t>. Error bars indicate SEM.</w:t>
      </w:r>
    </w:p>
    <w:p w:rsidR="0090076D" w:rsidRDefault="0090076D" w:rsidP="008F17C0">
      <w:pPr>
        <w:spacing w:after="200" w:line="360" w:lineRule="auto"/>
        <w:jc w:val="both"/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</w:pPr>
    </w:p>
    <w:p w:rsidR="0090076D" w:rsidRDefault="0090076D" w:rsidP="008F17C0">
      <w:pPr>
        <w:spacing w:after="200" w:line="360" w:lineRule="auto"/>
        <w:jc w:val="both"/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</w:pPr>
    </w:p>
    <w:p w:rsidR="0090076D" w:rsidRDefault="0090076D" w:rsidP="008F17C0">
      <w:pPr>
        <w:spacing w:after="200" w:line="360" w:lineRule="auto"/>
        <w:jc w:val="both"/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</w:pPr>
    </w:p>
    <w:p w:rsidR="0090076D" w:rsidRDefault="0090076D" w:rsidP="008F17C0">
      <w:pPr>
        <w:spacing w:after="200" w:line="360" w:lineRule="auto"/>
        <w:jc w:val="both"/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</w:pPr>
    </w:p>
    <w:p w:rsidR="0090076D" w:rsidRDefault="0090076D" w:rsidP="008F17C0">
      <w:pPr>
        <w:spacing w:after="200" w:line="360" w:lineRule="auto"/>
        <w:jc w:val="both"/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</w:pPr>
    </w:p>
    <w:p w:rsidR="0090076D" w:rsidRDefault="0090076D" w:rsidP="008F17C0">
      <w:pPr>
        <w:spacing w:after="200" w:line="360" w:lineRule="auto"/>
        <w:jc w:val="both"/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</w:pPr>
    </w:p>
    <w:p w:rsidR="0090076D" w:rsidRDefault="0090076D" w:rsidP="008F17C0">
      <w:pPr>
        <w:spacing w:after="200" w:line="360" w:lineRule="auto"/>
        <w:jc w:val="both"/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</w:pPr>
    </w:p>
    <w:p w:rsidR="00856D3E" w:rsidRDefault="00856D3E" w:rsidP="008F17C0">
      <w:pPr>
        <w:jc w:val="both"/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</w:pPr>
      <w:r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br w:type="page"/>
      </w:r>
    </w:p>
    <w:p w:rsidR="003731C5" w:rsidRPr="0090076D" w:rsidRDefault="003731C5" w:rsidP="008F17C0">
      <w:pPr>
        <w:spacing w:after="200" w:line="360" w:lineRule="auto"/>
        <w:jc w:val="both"/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</w:pPr>
      <w:r w:rsidRPr="0090076D"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lastRenderedPageBreak/>
        <w:t xml:space="preserve">Supplemental Figure </w:t>
      </w:r>
      <w:r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t>3</w:t>
      </w:r>
      <w:r w:rsidRPr="0090076D"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t xml:space="preserve"> (Fig. S</w:t>
      </w:r>
      <w:r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t>3</w:t>
      </w:r>
      <w:r w:rsidRPr="0090076D"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t>)</w:t>
      </w:r>
    </w:p>
    <w:p w:rsidR="008F17C0" w:rsidRDefault="009D1EBB" w:rsidP="009A6A23">
      <w:pPr>
        <w:spacing w:line="360" w:lineRule="auto"/>
        <w:rPr>
          <w:rFonts w:cstheme="minorHAnsi"/>
          <w:b/>
          <w:bCs/>
          <w:sz w:val="22"/>
          <w:szCs w:val="22"/>
          <w:lang w:val="en-US"/>
        </w:rPr>
      </w:pPr>
      <w:r w:rsidRPr="009D1EBB">
        <w:rPr>
          <w:rFonts w:cstheme="minorHAnsi"/>
          <w:b/>
          <w:bCs/>
          <w:noProof/>
          <w:sz w:val="22"/>
          <w:szCs w:val="22"/>
          <w:lang w:val="en-US"/>
        </w:rPr>
        <w:drawing>
          <wp:inline distT="0" distB="0" distL="0" distR="0" wp14:anchorId="1D8488D0" wp14:editId="4F0464EB">
            <wp:extent cx="5731510" cy="5844540"/>
            <wp:effectExtent l="0" t="0" r="0" b="0"/>
            <wp:docPr id="190932025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932025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844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17C0" w:rsidRPr="008F17C0" w:rsidRDefault="008F17C0" w:rsidP="008F17C0">
      <w:pPr>
        <w:spacing w:line="360" w:lineRule="auto"/>
        <w:jc w:val="both"/>
        <w:rPr>
          <w:rFonts w:cstheme="minorHAnsi"/>
          <w:sz w:val="22"/>
          <w:szCs w:val="22"/>
          <w:lang w:val="en-US"/>
        </w:rPr>
      </w:pPr>
      <w:r w:rsidRPr="008F17C0">
        <w:rPr>
          <w:rFonts w:cstheme="minorHAnsi"/>
          <w:b/>
          <w:bCs/>
          <w:sz w:val="22"/>
          <w:szCs w:val="22"/>
          <w:lang w:val="en-US"/>
        </w:rPr>
        <w:t xml:space="preserve">Fig. S3: </w:t>
      </w:r>
      <w:r w:rsidRPr="008F17C0">
        <w:rPr>
          <w:rFonts w:cstheme="minorHAnsi"/>
          <w:b/>
          <w:bCs/>
          <w:i/>
          <w:iCs/>
          <w:sz w:val="22"/>
          <w:szCs w:val="22"/>
          <w:lang w:val="en-US"/>
        </w:rPr>
        <w:t>Prdm16</w:t>
      </w:r>
      <w:r w:rsidRPr="008F17C0">
        <w:rPr>
          <w:rFonts w:cstheme="minorHAnsi"/>
          <w:b/>
          <w:bCs/>
          <w:sz w:val="22"/>
          <w:szCs w:val="22"/>
          <w:lang w:val="en-US"/>
        </w:rPr>
        <w:t xml:space="preserve"> expression in reactive astrocytes and disease. </w:t>
      </w:r>
      <w:r w:rsidR="0066655B">
        <w:rPr>
          <w:rFonts w:cstheme="minorHAnsi"/>
          <w:b/>
          <w:bCs/>
          <w:sz w:val="22"/>
          <w:szCs w:val="22"/>
          <w:lang w:val="en-US"/>
        </w:rPr>
        <w:t>a</w:t>
      </w:r>
      <w:r w:rsidRPr="008F17C0">
        <w:rPr>
          <w:rFonts w:cstheme="minorHAnsi"/>
          <w:b/>
          <w:bCs/>
          <w:sz w:val="22"/>
          <w:szCs w:val="22"/>
          <w:lang w:val="en-US"/>
        </w:rPr>
        <w:t>.</w:t>
      </w:r>
      <w:r w:rsidRPr="008F17C0">
        <w:rPr>
          <w:rFonts w:cstheme="minorHAnsi"/>
          <w:sz w:val="22"/>
          <w:szCs w:val="22"/>
          <w:lang w:val="en-US"/>
        </w:rPr>
        <w:t xml:space="preserve"> Bar chart showing the expression of </w:t>
      </w:r>
      <w:r w:rsidRPr="008F17C0">
        <w:rPr>
          <w:rFonts w:cstheme="minorHAnsi"/>
          <w:i/>
          <w:iCs/>
          <w:sz w:val="22"/>
          <w:szCs w:val="22"/>
          <w:lang w:val="en-US"/>
        </w:rPr>
        <w:t>Prdm16</w:t>
      </w:r>
      <w:r w:rsidRPr="008F17C0">
        <w:rPr>
          <w:rFonts w:cstheme="minorHAnsi"/>
          <w:sz w:val="22"/>
          <w:szCs w:val="22"/>
          <w:lang w:val="en-US"/>
        </w:rPr>
        <w:t xml:space="preserve"> after the KD of </w:t>
      </w:r>
      <w:r w:rsidRPr="008F17C0">
        <w:rPr>
          <w:rFonts w:cstheme="minorHAnsi"/>
          <w:i/>
          <w:iCs/>
          <w:sz w:val="22"/>
          <w:szCs w:val="22"/>
          <w:lang w:val="en-US"/>
        </w:rPr>
        <w:t>Prdm16os</w:t>
      </w:r>
      <w:r w:rsidRPr="008F17C0">
        <w:rPr>
          <w:rFonts w:cstheme="minorHAnsi"/>
          <w:sz w:val="22"/>
          <w:szCs w:val="22"/>
          <w:lang w:val="en-US"/>
        </w:rPr>
        <w:t xml:space="preserve"> in primary astrocytes (**P&lt;0.01, unpaired t-test). </w:t>
      </w:r>
      <w:r w:rsidR="0066655B">
        <w:rPr>
          <w:rFonts w:cstheme="minorHAnsi"/>
          <w:b/>
          <w:bCs/>
          <w:sz w:val="22"/>
          <w:szCs w:val="22"/>
          <w:lang w:val="en-US"/>
        </w:rPr>
        <w:t>b</w:t>
      </w:r>
      <w:r w:rsidRPr="008F17C0">
        <w:rPr>
          <w:rFonts w:cstheme="minorHAnsi"/>
          <w:b/>
          <w:bCs/>
          <w:sz w:val="22"/>
          <w:szCs w:val="22"/>
          <w:lang w:val="en-US"/>
        </w:rPr>
        <w:t>.</w:t>
      </w:r>
      <w:r w:rsidRPr="008F17C0">
        <w:rPr>
          <w:rFonts w:cstheme="minorHAnsi"/>
          <w:sz w:val="22"/>
          <w:szCs w:val="22"/>
          <w:lang w:val="en-US"/>
        </w:rPr>
        <w:t xml:space="preserve"> Bar plot showing </w:t>
      </w:r>
      <w:r w:rsidRPr="008F17C0">
        <w:rPr>
          <w:rFonts w:cstheme="minorHAnsi"/>
          <w:i/>
          <w:iCs/>
          <w:sz w:val="22"/>
          <w:szCs w:val="22"/>
          <w:lang w:val="en-US"/>
        </w:rPr>
        <w:t>Prdm16</w:t>
      </w:r>
      <w:r w:rsidRPr="008F17C0">
        <w:rPr>
          <w:rFonts w:cstheme="minorHAnsi"/>
          <w:sz w:val="22"/>
          <w:szCs w:val="22"/>
          <w:lang w:val="en-US"/>
        </w:rPr>
        <w:t xml:space="preserve"> expression in mouse astrocytes after treatment with a </w:t>
      </w:r>
      <w:proofErr w:type="gramStart"/>
      <w:r w:rsidRPr="008F17C0">
        <w:rPr>
          <w:rFonts w:cstheme="minorHAnsi"/>
          <w:sz w:val="22"/>
          <w:szCs w:val="22"/>
          <w:lang w:val="en-US"/>
        </w:rPr>
        <w:t>3 cytokine</w:t>
      </w:r>
      <w:proofErr w:type="gramEnd"/>
      <w:r w:rsidRPr="008F17C0">
        <w:rPr>
          <w:rFonts w:cstheme="minorHAnsi"/>
          <w:sz w:val="22"/>
          <w:szCs w:val="22"/>
          <w:lang w:val="en-US"/>
        </w:rPr>
        <w:t xml:space="preserve"> cocktail (</w:t>
      </w:r>
      <w:proofErr w:type="spellStart"/>
      <w:r w:rsidRPr="008F17C0">
        <w:rPr>
          <w:rFonts w:cstheme="minorHAnsi"/>
          <w:sz w:val="22"/>
          <w:szCs w:val="22"/>
          <w:lang w:val="en-US"/>
        </w:rPr>
        <w:t>Cyt</w:t>
      </w:r>
      <w:proofErr w:type="spellEnd"/>
      <w:r w:rsidRPr="008F17C0">
        <w:rPr>
          <w:rFonts w:cstheme="minorHAnsi"/>
          <w:sz w:val="22"/>
          <w:szCs w:val="22"/>
          <w:lang w:val="en-US"/>
        </w:rPr>
        <w:t>) and Aß1-42 treatment compared to the corresponding vehicle controls. (***P &lt; 0.0001,</w:t>
      </w:r>
      <w:r w:rsidR="009A6A23">
        <w:rPr>
          <w:rFonts w:cstheme="minorHAnsi"/>
          <w:sz w:val="22"/>
          <w:szCs w:val="22"/>
          <w:lang w:val="en-US"/>
        </w:rPr>
        <w:t xml:space="preserve"> </w:t>
      </w:r>
      <w:r w:rsidRPr="008F17C0">
        <w:rPr>
          <w:rFonts w:cstheme="minorHAnsi"/>
          <w:sz w:val="22"/>
          <w:szCs w:val="22"/>
          <w:lang w:val="en-US"/>
        </w:rPr>
        <w:t xml:space="preserve">unpaired t-Test). </w:t>
      </w:r>
      <w:r w:rsidR="0066655B">
        <w:rPr>
          <w:rFonts w:cstheme="minorHAnsi"/>
          <w:b/>
          <w:bCs/>
          <w:sz w:val="22"/>
          <w:szCs w:val="22"/>
          <w:lang w:val="en-US"/>
        </w:rPr>
        <w:t>c</w:t>
      </w:r>
      <w:r w:rsidRPr="008F17C0">
        <w:rPr>
          <w:rFonts w:cstheme="minorHAnsi"/>
          <w:b/>
          <w:bCs/>
          <w:sz w:val="22"/>
          <w:szCs w:val="22"/>
          <w:lang w:val="en-US"/>
        </w:rPr>
        <w:t>.</w:t>
      </w:r>
      <w:r w:rsidRPr="008F17C0">
        <w:rPr>
          <w:rFonts w:cstheme="minorHAnsi"/>
          <w:sz w:val="22"/>
          <w:szCs w:val="22"/>
          <w:lang w:val="en-US"/>
        </w:rPr>
        <w:t xml:space="preserve"> Bar chart showing qPCR data on the expression of </w:t>
      </w:r>
      <w:r w:rsidRPr="008F17C0">
        <w:rPr>
          <w:rFonts w:cstheme="minorHAnsi"/>
          <w:i/>
          <w:iCs/>
          <w:sz w:val="22"/>
          <w:szCs w:val="22"/>
          <w:lang w:val="en-US"/>
        </w:rPr>
        <w:t>PRDM16</w:t>
      </w:r>
      <w:r w:rsidRPr="008F17C0">
        <w:rPr>
          <w:rFonts w:cstheme="minorHAnsi"/>
          <w:sz w:val="22"/>
          <w:szCs w:val="22"/>
          <w:lang w:val="en-US"/>
        </w:rPr>
        <w:t xml:space="preserve"> in postmortem brain samples (prefrontal cortex, BA9) from control (n = 7) and AD patients (n = 7) (not significant, unpaired t-Test). </w:t>
      </w:r>
      <w:r w:rsidR="0066655B">
        <w:rPr>
          <w:rFonts w:cstheme="minorHAnsi"/>
          <w:b/>
          <w:bCs/>
          <w:sz w:val="22"/>
          <w:szCs w:val="22"/>
          <w:lang w:val="en-US"/>
        </w:rPr>
        <w:t>d</w:t>
      </w:r>
      <w:r w:rsidRPr="008F17C0">
        <w:rPr>
          <w:rFonts w:cstheme="minorHAnsi"/>
          <w:b/>
          <w:bCs/>
          <w:sz w:val="22"/>
          <w:szCs w:val="22"/>
          <w:lang w:val="en-US"/>
        </w:rPr>
        <w:t>.</w:t>
      </w:r>
      <w:r w:rsidRPr="008F17C0">
        <w:rPr>
          <w:rFonts w:cstheme="minorHAnsi"/>
          <w:sz w:val="22"/>
          <w:szCs w:val="22"/>
          <w:lang w:val="en-US"/>
        </w:rPr>
        <w:t xml:space="preserve"> Log2 Fold changes of </w:t>
      </w:r>
      <w:r w:rsidRPr="008F17C0">
        <w:rPr>
          <w:rFonts w:cstheme="minorHAnsi"/>
          <w:i/>
          <w:iCs/>
          <w:sz w:val="22"/>
          <w:szCs w:val="22"/>
          <w:lang w:val="en-US"/>
        </w:rPr>
        <w:t>PRDM16</w:t>
      </w:r>
      <w:r w:rsidRPr="008F17C0">
        <w:rPr>
          <w:rFonts w:cstheme="minorHAnsi"/>
          <w:sz w:val="22"/>
          <w:szCs w:val="22"/>
          <w:lang w:val="en-US"/>
        </w:rPr>
        <w:t xml:space="preserve"> expression in different brain regions in AD patients compared to controls based on data from the Agora database (https://agora.adknowledgeportal.org/).(*P &lt; 0.05). </w:t>
      </w:r>
      <w:r w:rsidR="0066655B">
        <w:rPr>
          <w:rFonts w:cstheme="minorHAnsi"/>
          <w:b/>
          <w:bCs/>
          <w:sz w:val="22"/>
          <w:szCs w:val="22"/>
          <w:lang w:val="en-US"/>
        </w:rPr>
        <w:t>e</w:t>
      </w:r>
      <w:r w:rsidRPr="008F17C0">
        <w:rPr>
          <w:rFonts w:cstheme="minorHAnsi"/>
          <w:b/>
          <w:bCs/>
          <w:sz w:val="22"/>
          <w:szCs w:val="22"/>
          <w:lang w:val="en-US"/>
        </w:rPr>
        <w:t>.</w:t>
      </w:r>
      <w:r w:rsidRPr="008F17C0">
        <w:rPr>
          <w:rFonts w:cstheme="minorHAnsi"/>
          <w:sz w:val="22"/>
          <w:szCs w:val="22"/>
          <w:lang w:val="en-US"/>
        </w:rPr>
        <w:t xml:space="preserve"> Bar chart showing the expression of </w:t>
      </w:r>
      <w:r w:rsidRPr="008F17C0">
        <w:rPr>
          <w:rFonts w:cstheme="minorHAnsi"/>
          <w:i/>
          <w:iCs/>
          <w:sz w:val="22"/>
          <w:szCs w:val="22"/>
          <w:lang w:val="en-US"/>
        </w:rPr>
        <w:t>PRDM16</w:t>
      </w:r>
      <w:r w:rsidRPr="008F17C0">
        <w:rPr>
          <w:rFonts w:cstheme="minorHAnsi"/>
          <w:sz w:val="22"/>
          <w:szCs w:val="22"/>
          <w:lang w:val="en-US"/>
        </w:rPr>
        <w:t xml:space="preserve"> in postmortem tissue samples (frontal lobe) of FTD patients with MAPT (n = 10), C9ORF72 (n = 8) or GRN (n = 6) mutations compared to non-demented controls (NDC, </w:t>
      </w:r>
      <w:r w:rsidRPr="008F17C0">
        <w:rPr>
          <w:rFonts w:cstheme="minorHAnsi"/>
          <w:sz w:val="22"/>
          <w:szCs w:val="22"/>
          <w:lang w:val="en-US"/>
        </w:rPr>
        <w:lastRenderedPageBreak/>
        <w:t xml:space="preserve">n = 13). Data were obtained from the </w:t>
      </w:r>
      <w:proofErr w:type="spellStart"/>
      <w:r w:rsidRPr="008F17C0">
        <w:rPr>
          <w:rFonts w:cstheme="minorHAnsi"/>
          <w:sz w:val="22"/>
          <w:szCs w:val="22"/>
          <w:lang w:val="en-US"/>
        </w:rPr>
        <w:t>RiMOD</w:t>
      </w:r>
      <w:proofErr w:type="spellEnd"/>
      <w:r w:rsidRPr="008F17C0">
        <w:rPr>
          <w:rFonts w:cstheme="minorHAnsi"/>
          <w:sz w:val="22"/>
          <w:szCs w:val="22"/>
          <w:lang w:val="en-US"/>
        </w:rPr>
        <w:t xml:space="preserve"> database </w:t>
      </w:r>
      <w:r w:rsidR="009A6A23">
        <w:rPr>
          <w:rFonts w:ascii="Calibri" w:hAnsi="Calibri" w:cs="Calibri"/>
          <w:sz w:val="22"/>
          <w:szCs w:val="22"/>
          <w:lang w:val="en-US"/>
        </w:rPr>
        <w:t>[</w:t>
      </w:r>
      <w:r w:rsidR="009A6A23">
        <w:rPr>
          <w:rFonts w:cstheme="minorHAnsi"/>
          <w:sz w:val="22"/>
          <w:szCs w:val="22"/>
          <w:lang w:val="en-US"/>
        </w:rPr>
        <w:t>34</w:t>
      </w:r>
      <w:r w:rsidR="009A6A23">
        <w:rPr>
          <w:rFonts w:ascii="Calibri" w:hAnsi="Calibri" w:cs="Calibri"/>
          <w:sz w:val="22"/>
          <w:szCs w:val="22"/>
          <w:lang w:val="en-US"/>
        </w:rPr>
        <w:t>]</w:t>
      </w:r>
      <w:r>
        <w:rPr>
          <w:rFonts w:cstheme="minorHAnsi"/>
          <w:sz w:val="22"/>
          <w:szCs w:val="22"/>
          <w:lang w:val="en-US"/>
        </w:rPr>
        <w:t xml:space="preserve"> </w:t>
      </w:r>
      <w:r w:rsidR="009A6A23">
        <w:rPr>
          <w:rFonts w:ascii="Calibri" w:hAnsi="Calibri" w:cs="Calibri"/>
          <w:sz w:val="22"/>
          <w:szCs w:val="22"/>
          <w:lang w:val="en-US"/>
        </w:rPr>
        <w:t>[</w:t>
      </w:r>
      <w:r w:rsidR="009A6A23">
        <w:rPr>
          <w:rFonts w:cstheme="minorHAnsi"/>
          <w:sz w:val="22"/>
          <w:szCs w:val="22"/>
          <w:lang w:val="en-US"/>
        </w:rPr>
        <w:t>35</w:t>
      </w:r>
      <w:r w:rsidR="009A6A23">
        <w:rPr>
          <w:rFonts w:ascii="Calibri" w:hAnsi="Calibri" w:cs="Calibri"/>
          <w:sz w:val="22"/>
          <w:szCs w:val="22"/>
          <w:lang w:val="en-US"/>
        </w:rPr>
        <w:t>]</w:t>
      </w:r>
      <w:r w:rsidRPr="008F17C0">
        <w:rPr>
          <w:rFonts w:cstheme="minorHAnsi"/>
          <w:sz w:val="22"/>
          <w:szCs w:val="22"/>
          <w:lang w:val="en-US"/>
        </w:rPr>
        <w:t xml:space="preserve">. </w:t>
      </w:r>
      <w:r w:rsidR="009A6A23">
        <w:rPr>
          <w:rFonts w:cstheme="minorHAnsi"/>
          <w:b/>
          <w:bCs/>
          <w:sz w:val="22"/>
          <w:szCs w:val="22"/>
          <w:lang w:val="en-US"/>
        </w:rPr>
        <w:t>F</w:t>
      </w:r>
      <w:r w:rsidRPr="008F17C0">
        <w:rPr>
          <w:rFonts w:cstheme="minorHAnsi"/>
          <w:b/>
          <w:bCs/>
          <w:sz w:val="22"/>
          <w:szCs w:val="22"/>
          <w:lang w:val="en-US"/>
        </w:rPr>
        <w:t>.</w:t>
      </w:r>
      <w:r w:rsidRPr="008F17C0">
        <w:rPr>
          <w:rFonts w:cstheme="minorHAnsi"/>
          <w:sz w:val="22"/>
          <w:szCs w:val="22"/>
          <w:lang w:val="en-US"/>
        </w:rPr>
        <w:t xml:space="preserve"> Bar chart showing the expression of </w:t>
      </w:r>
      <w:r w:rsidRPr="008F17C0">
        <w:rPr>
          <w:rFonts w:cstheme="minorHAnsi"/>
          <w:i/>
          <w:iCs/>
          <w:sz w:val="22"/>
          <w:szCs w:val="22"/>
          <w:lang w:val="en-US"/>
        </w:rPr>
        <w:t>PRDM16</w:t>
      </w:r>
      <w:r w:rsidRPr="008F17C0">
        <w:rPr>
          <w:rFonts w:cstheme="minorHAnsi"/>
          <w:sz w:val="22"/>
          <w:szCs w:val="22"/>
          <w:lang w:val="en-US"/>
        </w:rPr>
        <w:t xml:space="preserve"> in postmortem brain tissue of controls (n = 279) compared to schizophrenia patients (n = 258) obtained from a study by Wu et al.</w:t>
      </w:r>
      <w:r w:rsidR="009A6A23" w:rsidRPr="009A6A23">
        <w:rPr>
          <w:rFonts w:ascii="Calibri" w:hAnsi="Calibri" w:cs="Calibri"/>
          <w:sz w:val="22"/>
          <w:szCs w:val="22"/>
          <w:lang w:val="en-US"/>
        </w:rPr>
        <w:t xml:space="preserve"> </w:t>
      </w:r>
      <w:r w:rsidR="009A6A23">
        <w:rPr>
          <w:rFonts w:ascii="Calibri" w:hAnsi="Calibri" w:cs="Calibri"/>
          <w:sz w:val="22"/>
          <w:szCs w:val="22"/>
          <w:lang w:val="en-US"/>
        </w:rPr>
        <w:t>[</w:t>
      </w:r>
      <w:r w:rsidR="009A6A23">
        <w:rPr>
          <w:rFonts w:cstheme="minorHAnsi"/>
          <w:sz w:val="22"/>
          <w:szCs w:val="22"/>
          <w:lang w:val="en-US"/>
        </w:rPr>
        <w:t>36</w:t>
      </w:r>
      <w:r w:rsidR="009A6A23">
        <w:rPr>
          <w:rFonts w:ascii="Calibri" w:hAnsi="Calibri" w:cs="Calibri"/>
          <w:sz w:val="22"/>
          <w:szCs w:val="22"/>
          <w:lang w:val="en-US"/>
        </w:rPr>
        <w:t>]</w:t>
      </w:r>
      <w:r w:rsidRPr="008F17C0">
        <w:rPr>
          <w:rFonts w:cstheme="minorHAnsi"/>
          <w:sz w:val="22"/>
          <w:szCs w:val="22"/>
          <w:lang w:val="en-US"/>
        </w:rPr>
        <w:t>.</w:t>
      </w:r>
    </w:p>
    <w:p w:rsidR="003731C5" w:rsidRPr="008F17C0" w:rsidRDefault="003731C5" w:rsidP="008F17C0">
      <w:pPr>
        <w:spacing w:line="360" w:lineRule="auto"/>
        <w:jc w:val="both"/>
        <w:rPr>
          <w:rFonts w:eastAsia="Times New Roman" w:cstheme="minorHAnsi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</w:pPr>
      <w:r w:rsidRPr="008F17C0">
        <w:rPr>
          <w:rFonts w:eastAsia="Times New Roman" w:cstheme="minorHAnsi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br w:type="page"/>
      </w:r>
    </w:p>
    <w:p w:rsidR="0090076D" w:rsidRPr="0090076D" w:rsidRDefault="0090076D" w:rsidP="008F17C0">
      <w:pPr>
        <w:spacing w:after="200" w:line="360" w:lineRule="auto"/>
        <w:jc w:val="both"/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</w:pPr>
      <w:r w:rsidRPr="0090076D"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lastRenderedPageBreak/>
        <w:t xml:space="preserve">Supplemental Figure </w:t>
      </w:r>
      <w:r w:rsidR="003731C5"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t>4</w:t>
      </w:r>
      <w:r w:rsidRPr="0090076D"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t xml:space="preserve"> (Fig. S</w:t>
      </w:r>
      <w:r w:rsidR="003731C5"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t>4</w:t>
      </w:r>
      <w:r w:rsidRPr="0090076D"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t>)</w:t>
      </w:r>
    </w:p>
    <w:p w:rsidR="0090076D" w:rsidRDefault="00487805" w:rsidP="008F17C0">
      <w:pPr>
        <w:spacing w:after="200" w:line="360" w:lineRule="auto"/>
        <w:jc w:val="both"/>
        <w:rPr>
          <w:rFonts w:ascii="Arial" w:eastAsia="Times New Roman" w:hAnsi="Arial" w:cs="Arial"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</w:pPr>
      <w:r w:rsidRPr="00487805">
        <w:rPr>
          <w:rFonts w:ascii="Arial" w:eastAsia="Times New Roman" w:hAnsi="Arial" w:cs="Arial"/>
          <w:noProof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drawing>
          <wp:inline distT="0" distB="0" distL="0" distR="0" wp14:anchorId="1C73F194" wp14:editId="65761715">
            <wp:extent cx="5731510" cy="4370705"/>
            <wp:effectExtent l="0" t="0" r="0" b="0"/>
            <wp:docPr id="71614186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6141865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70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076D" w:rsidRDefault="0090076D" w:rsidP="008F17C0">
      <w:pPr>
        <w:spacing w:after="200" w:line="360" w:lineRule="auto"/>
        <w:jc w:val="both"/>
        <w:rPr>
          <w:rFonts w:ascii="Arial" w:eastAsia="Times New Roman" w:hAnsi="Arial" w:cs="Arial"/>
          <w:color w:val="000000"/>
          <w:kern w:val="0"/>
          <w:sz w:val="22"/>
          <w:szCs w:val="22"/>
          <w:shd w:val="clear" w:color="auto" w:fill="FFFFFF"/>
          <w:lang w:eastAsia="en-GB"/>
          <w14:ligatures w14:val="none"/>
        </w:rPr>
      </w:pPr>
      <w:r w:rsidRPr="0090076D"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t>Figure S</w:t>
      </w:r>
      <w:r w:rsidR="00487805"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t>4</w:t>
      </w:r>
      <w:r w:rsidRPr="0090076D"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t>:</w:t>
      </w:r>
      <w:r w:rsidRPr="0090076D">
        <w:rPr>
          <w:rFonts w:ascii="Arial" w:eastAsia="Times New Roman" w:hAnsi="Arial" w:cs="Arial"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t xml:space="preserve"> The knockdown of </w:t>
      </w:r>
      <w:r w:rsidRPr="0090076D">
        <w:rPr>
          <w:rFonts w:ascii="Arial" w:eastAsia="Times New Roman" w:hAnsi="Arial" w:cs="Arial"/>
          <w:i/>
          <w:i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t>PRDM16-DT</w:t>
      </w:r>
      <w:r w:rsidRPr="0090076D">
        <w:rPr>
          <w:rFonts w:ascii="Arial" w:eastAsia="Times New Roman" w:hAnsi="Arial" w:cs="Arial"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t xml:space="preserve"> does not induce a pro-inflammatory phenotype in human iPSC-derived astrocytes. </w:t>
      </w:r>
      <w:r w:rsidRPr="0090076D"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t>a.</w:t>
      </w:r>
      <w:r w:rsidRPr="0090076D">
        <w:rPr>
          <w:rFonts w:ascii="Arial" w:eastAsia="Times New Roman" w:hAnsi="Arial" w:cs="Arial"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t xml:space="preserve"> Scheme showing the experimental approach to stimulate human iPSC-derived astrocytes and the expression levels of pro-inflammatory cytokines after treatment with the 3 cytokine cocktail. </w:t>
      </w:r>
      <w:r w:rsidRPr="0090076D">
        <w:rPr>
          <w:rFonts w:ascii="Arial" w:eastAsia="Times New Roman" w:hAnsi="Arial" w:cs="Arial"/>
          <w:b/>
          <w:bCs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t>b.</w:t>
      </w:r>
      <w:r w:rsidRPr="0090076D">
        <w:rPr>
          <w:rFonts w:ascii="Arial" w:eastAsia="Times New Roman" w:hAnsi="Arial" w:cs="Arial"/>
          <w:color w:val="0D0D0D"/>
          <w:kern w:val="0"/>
          <w:sz w:val="22"/>
          <w:szCs w:val="22"/>
          <w:shd w:val="clear" w:color="auto" w:fill="FFFFFF"/>
          <w:lang w:eastAsia="en-GB"/>
          <w14:ligatures w14:val="none"/>
        </w:rPr>
        <w:t xml:space="preserve"> Treatment scheme of PRDM16-DT KD in human iPSC-derived astrocytes followed by qPCR for IL6 and IL1b. KD: knockdown, NC: negative control. Statistical significance was assessed by a Student’s unpaired t test; **P &lt; 0.01, ****P &lt; 0.0001, ns = not significant. </w:t>
      </w:r>
      <w:r w:rsidRPr="0090076D">
        <w:rPr>
          <w:rFonts w:ascii="Arial" w:eastAsia="Times New Roman" w:hAnsi="Arial" w:cs="Arial"/>
          <w:color w:val="000000"/>
          <w:kern w:val="0"/>
          <w:sz w:val="22"/>
          <w:szCs w:val="22"/>
          <w:shd w:val="clear" w:color="auto" w:fill="FFFFFF"/>
          <w:lang w:eastAsia="en-GB"/>
          <w14:ligatures w14:val="none"/>
        </w:rPr>
        <w:t xml:space="preserve">Gene expression was normalized to </w:t>
      </w:r>
      <w:r w:rsidRPr="0090076D">
        <w:rPr>
          <w:rFonts w:ascii="Arial" w:eastAsia="Times New Roman" w:hAnsi="Arial" w:cs="Arial"/>
          <w:i/>
          <w:iCs/>
          <w:color w:val="000000"/>
          <w:kern w:val="0"/>
          <w:sz w:val="22"/>
          <w:szCs w:val="22"/>
          <w:shd w:val="clear" w:color="auto" w:fill="FFFFFF"/>
          <w:lang w:eastAsia="en-GB"/>
          <w14:ligatures w14:val="none"/>
        </w:rPr>
        <w:t>18S</w:t>
      </w:r>
      <w:r w:rsidRPr="0090076D">
        <w:rPr>
          <w:rFonts w:ascii="Arial" w:eastAsia="Times New Roman" w:hAnsi="Arial" w:cs="Arial"/>
          <w:color w:val="000000"/>
          <w:kern w:val="0"/>
          <w:sz w:val="22"/>
          <w:szCs w:val="22"/>
          <w:shd w:val="clear" w:color="auto" w:fill="FFFFFF"/>
          <w:lang w:eastAsia="en-GB"/>
          <w14:ligatures w14:val="none"/>
        </w:rPr>
        <w:t xml:space="preserve"> for </w:t>
      </w:r>
      <w:r w:rsidRPr="0090076D">
        <w:rPr>
          <w:rFonts w:ascii="Arial" w:eastAsia="Times New Roman" w:hAnsi="Arial" w:cs="Arial"/>
          <w:i/>
          <w:iCs/>
          <w:color w:val="000000"/>
          <w:kern w:val="0"/>
          <w:sz w:val="22"/>
          <w:szCs w:val="22"/>
          <w:shd w:val="clear" w:color="auto" w:fill="FFFFFF"/>
          <w:lang w:eastAsia="en-GB"/>
          <w14:ligatures w14:val="none"/>
        </w:rPr>
        <w:t>PRDM16-DT</w:t>
      </w:r>
      <w:r w:rsidRPr="0090076D">
        <w:rPr>
          <w:rFonts w:ascii="Arial" w:eastAsia="Times New Roman" w:hAnsi="Arial" w:cs="Arial"/>
          <w:color w:val="000000"/>
          <w:kern w:val="0"/>
          <w:sz w:val="22"/>
          <w:szCs w:val="22"/>
          <w:shd w:val="clear" w:color="auto" w:fill="FFFFFF"/>
          <w:lang w:eastAsia="en-GB"/>
          <w14:ligatures w14:val="none"/>
        </w:rPr>
        <w:t xml:space="preserve"> or </w:t>
      </w:r>
      <w:r w:rsidRPr="0090076D">
        <w:rPr>
          <w:rFonts w:ascii="Arial" w:eastAsia="Times New Roman" w:hAnsi="Arial" w:cs="Arial"/>
          <w:i/>
          <w:iCs/>
          <w:color w:val="000000"/>
          <w:kern w:val="0"/>
          <w:sz w:val="22"/>
          <w:szCs w:val="22"/>
          <w:shd w:val="clear" w:color="auto" w:fill="FFFFFF"/>
          <w:lang w:eastAsia="en-GB"/>
          <w14:ligatures w14:val="none"/>
        </w:rPr>
        <w:t>GAPDH</w:t>
      </w:r>
      <w:r w:rsidRPr="0090076D">
        <w:rPr>
          <w:rFonts w:ascii="Arial" w:eastAsia="Times New Roman" w:hAnsi="Arial" w:cs="Arial"/>
          <w:color w:val="000000"/>
          <w:kern w:val="0"/>
          <w:sz w:val="22"/>
          <w:szCs w:val="22"/>
          <w:shd w:val="clear" w:color="auto" w:fill="FFFFFF"/>
          <w:lang w:eastAsia="en-GB"/>
          <w14:ligatures w14:val="none"/>
        </w:rPr>
        <w:t xml:space="preserve"> for protein-coding genes.</w:t>
      </w:r>
    </w:p>
    <w:p w:rsidR="007B0605" w:rsidRPr="0090076D" w:rsidRDefault="007B0605" w:rsidP="008F17C0">
      <w:pPr>
        <w:spacing w:after="200" w:line="360" w:lineRule="auto"/>
        <w:jc w:val="both"/>
        <w:rPr>
          <w:rFonts w:ascii="Times New Roman" w:eastAsia="Times New Roman" w:hAnsi="Times New Roman" w:cs="Times New Roman"/>
          <w:kern w:val="0"/>
          <w:sz w:val="22"/>
          <w:szCs w:val="22"/>
          <w:lang w:eastAsia="en-GB"/>
          <w14:ligatures w14:val="none"/>
        </w:rPr>
      </w:pPr>
    </w:p>
    <w:p w:rsidR="0090076D" w:rsidRPr="0090076D" w:rsidRDefault="0090076D" w:rsidP="008F17C0">
      <w:pPr>
        <w:spacing w:line="360" w:lineRule="auto"/>
        <w:jc w:val="both"/>
        <w:rPr>
          <w:rFonts w:ascii="Times New Roman" w:eastAsia="Times New Roman" w:hAnsi="Times New Roman" w:cs="Times New Roman"/>
          <w:kern w:val="0"/>
          <w:sz w:val="22"/>
          <w:szCs w:val="22"/>
          <w:lang w:eastAsia="en-GB"/>
          <w14:ligatures w14:val="none"/>
        </w:rPr>
      </w:pPr>
    </w:p>
    <w:p w:rsidR="00ED13A2" w:rsidRPr="0090076D" w:rsidRDefault="00ED13A2" w:rsidP="008F17C0">
      <w:pPr>
        <w:spacing w:line="360" w:lineRule="auto"/>
        <w:jc w:val="both"/>
        <w:rPr>
          <w:sz w:val="22"/>
          <w:szCs w:val="22"/>
        </w:rPr>
      </w:pPr>
    </w:p>
    <w:sectPr w:rsidR="00ED13A2" w:rsidRPr="0090076D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EA1FEA"/>
    <w:multiLevelType w:val="hybridMultilevel"/>
    <w:tmpl w:val="E400857C"/>
    <w:lvl w:ilvl="0" w:tplc="4F944B8E">
      <w:start w:val="1"/>
      <w:numFmt w:val="upperLetter"/>
      <w:lvlText w:val="%1."/>
      <w:lvlJc w:val="left"/>
      <w:pPr>
        <w:ind w:left="785" w:hanging="360"/>
      </w:pPr>
      <w:rPr>
        <w:rFonts w:hint="default"/>
        <w:b/>
        <w:bCs/>
      </w:rPr>
    </w:lvl>
    <w:lvl w:ilvl="1" w:tplc="08090019" w:tentative="1">
      <w:start w:val="1"/>
      <w:numFmt w:val="lowerLetter"/>
      <w:lvlText w:val="%2."/>
      <w:lvlJc w:val="left"/>
      <w:pPr>
        <w:ind w:left="1505" w:hanging="360"/>
      </w:pPr>
    </w:lvl>
    <w:lvl w:ilvl="2" w:tplc="0809001B" w:tentative="1">
      <w:start w:val="1"/>
      <w:numFmt w:val="lowerRoman"/>
      <w:lvlText w:val="%3."/>
      <w:lvlJc w:val="right"/>
      <w:pPr>
        <w:ind w:left="2225" w:hanging="180"/>
      </w:pPr>
    </w:lvl>
    <w:lvl w:ilvl="3" w:tplc="0809000F" w:tentative="1">
      <w:start w:val="1"/>
      <w:numFmt w:val="decimal"/>
      <w:lvlText w:val="%4."/>
      <w:lvlJc w:val="left"/>
      <w:pPr>
        <w:ind w:left="2945" w:hanging="360"/>
      </w:pPr>
    </w:lvl>
    <w:lvl w:ilvl="4" w:tplc="08090019" w:tentative="1">
      <w:start w:val="1"/>
      <w:numFmt w:val="lowerLetter"/>
      <w:lvlText w:val="%5."/>
      <w:lvlJc w:val="left"/>
      <w:pPr>
        <w:ind w:left="3665" w:hanging="360"/>
      </w:pPr>
    </w:lvl>
    <w:lvl w:ilvl="5" w:tplc="0809001B" w:tentative="1">
      <w:start w:val="1"/>
      <w:numFmt w:val="lowerRoman"/>
      <w:lvlText w:val="%6."/>
      <w:lvlJc w:val="right"/>
      <w:pPr>
        <w:ind w:left="4385" w:hanging="180"/>
      </w:pPr>
    </w:lvl>
    <w:lvl w:ilvl="6" w:tplc="0809000F" w:tentative="1">
      <w:start w:val="1"/>
      <w:numFmt w:val="decimal"/>
      <w:lvlText w:val="%7."/>
      <w:lvlJc w:val="left"/>
      <w:pPr>
        <w:ind w:left="5105" w:hanging="360"/>
      </w:pPr>
    </w:lvl>
    <w:lvl w:ilvl="7" w:tplc="08090019" w:tentative="1">
      <w:start w:val="1"/>
      <w:numFmt w:val="lowerLetter"/>
      <w:lvlText w:val="%8."/>
      <w:lvlJc w:val="left"/>
      <w:pPr>
        <w:ind w:left="5825" w:hanging="360"/>
      </w:pPr>
    </w:lvl>
    <w:lvl w:ilvl="8" w:tplc="0809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1" w15:restartNumberingAfterBreak="0">
    <w:nsid w:val="4EF2613D"/>
    <w:multiLevelType w:val="hybridMultilevel"/>
    <w:tmpl w:val="AC8C0686"/>
    <w:lvl w:ilvl="0" w:tplc="FE82533C">
      <w:start w:val="1"/>
      <w:numFmt w:val="lowerLetter"/>
      <w:lvlText w:val="%1."/>
      <w:lvlJc w:val="left"/>
      <w:pPr>
        <w:ind w:left="785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505" w:hanging="360"/>
      </w:pPr>
    </w:lvl>
    <w:lvl w:ilvl="2" w:tplc="0809001B" w:tentative="1">
      <w:start w:val="1"/>
      <w:numFmt w:val="lowerRoman"/>
      <w:lvlText w:val="%3."/>
      <w:lvlJc w:val="right"/>
      <w:pPr>
        <w:ind w:left="2225" w:hanging="180"/>
      </w:pPr>
    </w:lvl>
    <w:lvl w:ilvl="3" w:tplc="0809000F" w:tentative="1">
      <w:start w:val="1"/>
      <w:numFmt w:val="decimal"/>
      <w:lvlText w:val="%4."/>
      <w:lvlJc w:val="left"/>
      <w:pPr>
        <w:ind w:left="2945" w:hanging="360"/>
      </w:pPr>
    </w:lvl>
    <w:lvl w:ilvl="4" w:tplc="08090019" w:tentative="1">
      <w:start w:val="1"/>
      <w:numFmt w:val="lowerLetter"/>
      <w:lvlText w:val="%5."/>
      <w:lvlJc w:val="left"/>
      <w:pPr>
        <w:ind w:left="3665" w:hanging="360"/>
      </w:pPr>
    </w:lvl>
    <w:lvl w:ilvl="5" w:tplc="0809001B" w:tentative="1">
      <w:start w:val="1"/>
      <w:numFmt w:val="lowerRoman"/>
      <w:lvlText w:val="%6."/>
      <w:lvlJc w:val="right"/>
      <w:pPr>
        <w:ind w:left="4385" w:hanging="180"/>
      </w:pPr>
    </w:lvl>
    <w:lvl w:ilvl="6" w:tplc="0809000F" w:tentative="1">
      <w:start w:val="1"/>
      <w:numFmt w:val="decimal"/>
      <w:lvlText w:val="%7."/>
      <w:lvlJc w:val="left"/>
      <w:pPr>
        <w:ind w:left="5105" w:hanging="360"/>
      </w:pPr>
    </w:lvl>
    <w:lvl w:ilvl="7" w:tplc="08090019" w:tentative="1">
      <w:start w:val="1"/>
      <w:numFmt w:val="lowerLetter"/>
      <w:lvlText w:val="%8."/>
      <w:lvlJc w:val="left"/>
      <w:pPr>
        <w:ind w:left="5825" w:hanging="360"/>
      </w:pPr>
    </w:lvl>
    <w:lvl w:ilvl="8" w:tplc="0809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2" w15:restartNumberingAfterBreak="0">
    <w:nsid w:val="610D7E76"/>
    <w:multiLevelType w:val="hybridMultilevel"/>
    <w:tmpl w:val="AF641B84"/>
    <w:lvl w:ilvl="0" w:tplc="08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45531704">
    <w:abstractNumId w:val="2"/>
  </w:num>
  <w:num w:numId="2" w16cid:durableId="409276570">
    <w:abstractNumId w:val="0"/>
  </w:num>
  <w:num w:numId="3" w16cid:durableId="7806186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9"/>
  <w:proofState w:spelling="clean" w:grammar="clean"/>
  <w:attachedTemplate r:id="rId1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076D"/>
    <w:rsid w:val="00081DD7"/>
    <w:rsid w:val="00126348"/>
    <w:rsid w:val="00175F41"/>
    <w:rsid w:val="001F34D5"/>
    <w:rsid w:val="00280FD5"/>
    <w:rsid w:val="002F1924"/>
    <w:rsid w:val="003731C5"/>
    <w:rsid w:val="003B12F1"/>
    <w:rsid w:val="003E0800"/>
    <w:rsid w:val="00472FD1"/>
    <w:rsid w:val="00487805"/>
    <w:rsid w:val="004A7651"/>
    <w:rsid w:val="0066655B"/>
    <w:rsid w:val="006C01DA"/>
    <w:rsid w:val="006C61D7"/>
    <w:rsid w:val="00707228"/>
    <w:rsid w:val="00717A64"/>
    <w:rsid w:val="00771308"/>
    <w:rsid w:val="00786883"/>
    <w:rsid w:val="007B0605"/>
    <w:rsid w:val="00856D3E"/>
    <w:rsid w:val="008914D3"/>
    <w:rsid w:val="008F17C0"/>
    <w:rsid w:val="0090076D"/>
    <w:rsid w:val="009A6A23"/>
    <w:rsid w:val="009C4530"/>
    <w:rsid w:val="009D178F"/>
    <w:rsid w:val="009D1EBB"/>
    <w:rsid w:val="00A0394B"/>
    <w:rsid w:val="00A539CA"/>
    <w:rsid w:val="00B00FD9"/>
    <w:rsid w:val="00B55074"/>
    <w:rsid w:val="00B8455F"/>
    <w:rsid w:val="00BD7002"/>
    <w:rsid w:val="00CB24A3"/>
    <w:rsid w:val="00D1022C"/>
    <w:rsid w:val="00D466D5"/>
    <w:rsid w:val="00E537C8"/>
    <w:rsid w:val="00E82887"/>
    <w:rsid w:val="00E97282"/>
    <w:rsid w:val="00EA441C"/>
    <w:rsid w:val="00ED13A2"/>
    <w:rsid w:val="00FA7F6F"/>
    <w:rsid w:val="00FB45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778A4EA6"/>
  <w15:chartTrackingRefBased/>
  <w15:docId w15:val="{B07882B3-FABC-AF46-8615-17D96B5959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DE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90076D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en-GB"/>
      <w14:ligatures w14:val="none"/>
    </w:rPr>
  </w:style>
  <w:style w:type="paragraph" w:styleId="ListParagraph">
    <w:name w:val="List Paragraph"/>
    <w:basedOn w:val="Normal"/>
    <w:uiPriority w:val="34"/>
    <w:qFormat/>
    <w:rsid w:val="0090076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21237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doNotRelyOnCSS/>
  <w:doNotOrganizeInFolder/>
  <w:doNotUseLongFileNames/>
  <w:pixelsPerInch w:val="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andre/Library/Group%20Containers/UBF8T346G9.Office/User%20Content.localized/Templates.localized/Normal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5</Pages>
  <Words>419</Words>
  <Characters>2394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11</cp:revision>
  <cp:lastPrinted>2024-08-07T22:35:00Z</cp:lastPrinted>
  <dcterms:created xsi:type="dcterms:W3CDTF">2024-08-05T18:28:00Z</dcterms:created>
  <dcterms:modified xsi:type="dcterms:W3CDTF">2024-08-09T12:21:00Z</dcterms:modified>
</cp:coreProperties>
</file>