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48AD986" w14:textId="77777777" w:rsidR="000546C6" w:rsidRPr="00AB2BA4" w:rsidRDefault="000546C6" w:rsidP="000546C6">
      <w:pPr>
        <w:contextualSpacing/>
        <w:rPr>
          <w:rFonts w:ascii="Arial" w:hAnsi="Arial" w:cs="Arial"/>
          <w:b/>
          <w:bCs/>
        </w:rPr>
      </w:pPr>
      <w:r w:rsidRPr="00AB2BA4">
        <w:rPr>
          <w:rFonts w:ascii="Arial" w:hAnsi="Arial" w:cs="Arial"/>
          <w:b/>
          <w:bCs/>
        </w:rPr>
        <w:t>Supplementary Figures</w:t>
      </w:r>
    </w:p>
    <w:p w14:paraId="3DC7DF64" w14:textId="77777777" w:rsidR="000546C6" w:rsidRPr="00AB2BA4" w:rsidRDefault="000546C6" w:rsidP="000546C6">
      <w:pPr>
        <w:contextualSpacing/>
        <w:rPr>
          <w:rFonts w:ascii="Arial" w:hAnsi="Arial" w:cs="Arial"/>
          <w:b/>
          <w:bCs/>
        </w:rPr>
      </w:pPr>
    </w:p>
    <w:p w14:paraId="37D1E6E1" w14:textId="77777777" w:rsidR="000546C6" w:rsidRPr="00AB2BA4" w:rsidRDefault="000546C6" w:rsidP="000546C6">
      <w:pPr>
        <w:contextualSpacing/>
        <w:jc w:val="center"/>
        <w:rPr>
          <w:rFonts w:ascii="Arial" w:hAnsi="Arial" w:cs="Arial"/>
        </w:rPr>
      </w:pPr>
      <w:r w:rsidRPr="00AB2BA4">
        <w:rPr>
          <w:rFonts w:ascii="Arial" w:hAnsi="Arial" w:cs="Arial"/>
          <w:noProof/>
        </w:rPr>
        <w:drawing>
          <wp:inline distT="0" distB="0" distL="0" distR="0" wp14:anchorId="0AA398A1" wp14:editId="4123122F">
            <wp:extent cx="5470167" cy="6908313"/>
            <wp:effectExtent l="0" t="0" r="3810" b="635"/>
            <wp:docPr id="869634262" name="Picture 1" descr="A screenshot of a computer screen  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9634262" name="Picture 1" descr="A screenshot of a computer screen  AI-generated content may be incorrect.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90284" cy="69337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9320A1" w14:textId="77777777" w:rsidR="000546C6" w:rsidRPr="00AB2BA4" w:rsidRDefault="000546C6" w:rsidP="000546C6">
      <w:pPr>
        <w:ind w:left="142"/>
        <w:contextualSpacing/>
        <w:rPr>
          <w:rFonts w:ascii="Arial" w:hAnsi="Arial" w:cs="Arial"/>
          <w:sz w:val="10"/>
          <w:szCs w:val="10"/>
        </w:rPr>
      </w:pPr>
    </w:p>
    <w:p w14:paraId="495780A0" w14:textId="77777777" w:rsidR="000546C6" w:rsidRPr="00AB2BA4" w:rsidRDefault="000546C6" w:rsidP="000546C6">
      <w:pPr>
        <w:contextualSpacing/>
        <w:jc w:val="both"/>
        <w:rPr>
          <w:rFonts w:ascii="Arial" w:hAnsi="Arial" w:cs="Arial"/>
          <w:i/>
          <w:iCs/>
          <w:sz w:val="18"/>
          <w:szCs w:val="18"/>
        </w:rPr>
      </w:pPr>
      <w:r w:rsidRPr="00AB2BA4">
        <w:rPr>
          <w:rFonts w:ascii="Arial" w:hAnsi="Arial" w:cs="Arial"/>
          <w:b/>
          <w:bCs/>
          <w:i/>
          <w:iCs/>
          <w:sz w:val="18"/>
          <w:szCs w:val="18"/>
        </w:rPr>
        <w:t xml:space="preserve">Supplementary Fig. 1: Nanobody clone selection and initial </w:t>
      </w:r>
      <w:r w:rsidRPr="00AB2BA4">
        <w:rPr>
          <w:rFonts w:ascii="Arial" w:eastAsia="Times New Roman" w:hAnsi="Arial" w:cs="Arial"/>
          <w:b/>
          <w:bCs/>
          <w:i/>
          <w:iCs/>
          <w:sz w:val="18"/>
          <w:szCs w:val="18"/>
        </w:rPr>
        <w:t>characterization</w:t>
      </w:r>
      <w:r w:rsidRPr="00AB2BA4">
        <w:rPr>
          <w:rFonts w:ascii="Arial" w:hAnsi="Arial" w:cs="Arial"/>
          <w:b/>
          <w:bCs/>
          <w:i/>
          <w:iCs/>
          <w:sz w:val="18"/>
          <w:szCs w:val="18"/>
        </w:rPr>
        <w:t>. a</w:t>
      </w:r>
      <w:r w:rsidRPr="00AB2BA4">
        <w:rPr>
          <w:rFonts w:ascii="Arial" w:hAnsi="Arial" w:cs="Arial"/>
          <w:i/>
          <w:iCs/>
          <w:sz w:val="18"/>
          <w:szCs w:val="18"/>
        </w:rPr>
        <w:t xml:space="preserve">) Testing the nanobody clones (fused to GFP) that were found to bind the Syt1 epitope </w:t>
      </w:r>
      <w:r w:rsidRPr="00AB2BA4">
        <w:rPr>
          <w:rFonts w:ascii="Arial" w:eastAsia="Times New Roman" w:hAnsi="Arial" w:cs="Arial"/>
          <w:i/>
          <w:iCs/>
          <w:sz w:val="18"/>
          <w:szCs w:val="18"/>
        </w:rPr>
        <w:t>via</w:t>
      </w:r>
      <w:r w:rsidRPr="00AB2BA4">
        <w:rPr>
          <w:rFonts w:ascii="Arial" w:hAnsi="Arial" w:cs="Arial"/>
          <w:i/>
          <w:iCs/>
          <w:sz w:val="18"/>
          <w:szCs w:val="18"/>
        </w:rPr>
        <w:t xml:space="preserve"> ELISA </w:t>
      </w:r>
      <w:r w:rsidRPr="00AB2BA4">
        <w:rPr>
          <w:rFonts w:ascii="Arial" w:eastAsia="Times New Roman" w:hAnsi="Arial" w:cs="Arial"/>
          <w:i/>
          <w:iCs/>
          <w:sz w:val="18"/>
          <w:szCs w:val="18"/>
        </w:rPr>
        <w:t>via</w:t>
      </w:r>
      <w:r w:rsidRPr="00AB2BA4">
        <w:rPr>
          <w:rFonts w:ascii="Arial" w:hAnsi="Arial" w:cs="Arial"/>
          <w:i/>
          <w:iCs/>
          <w:sz w:val="18"/>
          <w:szCs w:val="18"/>
        </w:rPr>
        <w:t xml:space="preserve"> live immunofluorescence </w:t>
      </w:r>
      <w:r w:rsidRPr="00AB2BA4">
        <w:rPr>
          <w:rFonts w:ascii="Arial" w:eastAsia="Times New Roman" w:hAnsi="Arial" w:cs="Arial"/>
          <w:i/>
          <w:iCs/>
          <w:sz w:val="18"/>
          <w:szCs w:val="18"/>
        </w:rPr>
        <w:t>in</w:t>
      </w:r>
      <w:r w:rsidRPr="00AB2BA4">
        <w:rPr>
          <w:rFonts w:ascii="Arial" w:hAnsi="Arial" w:cs="Arial"/>
          <w:i/>
          <w:iCs/>
          <w:sz w:val="18"/>
          <w:szCs w:val="18"/>
        </w:rPr>
        <w:t xml:space="preserve"> primary hippocampal neurons. Among the tested candidates</w:t>
      </w:r>
      <w:r w:rsidRPr="00AB2BA4">
        <w:rPr>
          <w:rFonts w:ascii="Arial" w:eastAsia="Times New Roman" w:hAnsi="Arial" w:cs="Arial"/>
          <w:i/>
          <w:iCs/>
          <w:sz w:val="18"/>
          <w:szCs w:val="18"/>
        </w:rPr>
        <w:t>,</w:t>
      </w:r>
      <w:r w:rsidRPr="00AB2BA4">
        <w:rPr>
          <w:rFonts w:ascii="Arial" w:hAnsi="Arial" w:cs="Arial"/>
          <w:i/>
          <w:iCs/>
          <w:sz w:val="18"/>
          <w:szCs w:val="18"/>
        </w:rPr>
        <w:t xml:space="preserve"> 1A8, 1D10, 1E6 and 1F12 </w:t>
      </w:r>
      <w:r w:rsidRPr="00AB2BA4">
        <w:rPr>
          <w:rFonts w:ascii="Arial" w:eastAsia="Times New Roman" w:hAnsi="Arial" w:cs="Arial"/>
          <w:i/>
          <w:iCs/>
          <w:sz w:val="18"/>
          <w:szCs w:val="18"/>
        </w:rPr>
        <w:t>showed</w:t>
      </w:r>
      <w:r w:rsidRPr="00AB2BA4">
        <w:rPr>
          <w:rFonts w:ascii="Arial" w:hAnsi="Arial" w:cs="Arial"/>
          <w:i/>
          <w:iCs/>
          <w:sz w:val="18"/>
          <w:szCs w:val="18"/>
        </w:rPr>
        <w:t xml:space="preserve"> the most promising binding. After analysis of the protein sequence of the nanobodies</w:t>
      </w:r>
      <w:r w:rsidRPr="00AB2BA4">
        <w:rPr>
          <w:rFonts w:ascii="Arial" w:eastAsia="Times New Roman" w:hAnsi="Arial" w:cs="Arial"/>
          <w:i/>
          <w:iCs/>
          <w:sz w:val="18"/>
          <w:szCs w:val="18"/>
        </w:rPr>
        <w:t>,</w:t>
      </w:r>
      <w:r w:rsidRPr="00AB2BA4">
        <w:rPr>
          <w:rFonts w:ascii="Arial" w:hAnsi="Arial" w:cs="Arial"/>
          <w:i/>
          <w:iCs/>
          <w:sz w:val="18"/>
          <w:szCs w:val="18"/>
        </w:rPr>
        <w:t xml:space="preserve"> these four clones appeared highly related (not shown)</w:t>
      </w:r>
      <w:r w:rsidRPr="00AB2BA4">
        <w:rPr>
          <w:rFonts w:ascii="Arial" w:eastAsia="Times New Roman" w:hAnsi="Arial" w:cs="Arial"/>
          <w:i/>
          <w:iCs/>
          <w:sz w:val="18"/>
          <w:szCs w:val="18"/>
        </w:rPr>
        <w:t>;</w:t>
      </w:r>
      <w:r w:rsidRPr="00AB2BA4">
        <w:rPr>
          <w:rFonts w:ascii="Arial" w:hAnsi="Arial" w:cs="Arial"/>
          <w:i/>
          <w:iCs/>
          <w:sz w:val="18"/>
          <w:szCs w:val="18"/>
        </w:rPr>
        <w:t xml:space="preserve"> hence</w:t>
      </w:r>
      <w:r w:rsidRPr="00AB2BA4">
        <w:rPr>
          <w:rFonts w:ascii="Arial" w:eastAsia="Times New Roman" w:hAnsi="Arial" w:cs="Arial"/>
          <w:i/>
          <w:iCs/>
          <w:sz w:val="18"/>
          <w:szCs w:val="18"/>
        </w:rPr>
        <w:t>,</w:t>
      </w:r>
      <w:r w:rsidRPr="00AB2BA4">
        <w:rPr>
          <w:rFonts w:ascii="Arial" w:hAnsi="Arial" w:cs="Arial"/>
          <w:i/>
          <w:iCs/>
          <w:sz w:val="18"/>
          <w:szCs w:val="18"/>
        </w:rPr>
        <w:t xml:space="preserve"> clone 1F12, which seemed </w:t>
      </w:r>
      <w:r w:rsidRPr="00AB2BA4">
        <w:rPr>
          <w:rFonts w:ascii="Arial" w:eastAsia="Times New Roman" w:hAnsi="Arial" w:cs="Arial"/>
          <w:i/>
          <w:iCs/>
          <w:sz w:val="18"/>
          <w:szCs w:val="18"/>
        </w:rPr>
        <w:t xml:space="preserve">to be </w:t>
      </w:r>
      <w:r w:rsidRPr="00AB2BA4">
        <w:rPr>
          <w:rFonts w:ascii="Arial" w:hAnsi="Arial" w:cs="Arial"/>
          <w:i/>
          <w:iCs/>
          <w:sz w:val="18"/>
          <w:szCs w:val="18"/>
        </w:rPr>
        <w:t>the strongest binder</w:t>
      </w:r>
      <w:r w:rsidRPr="00AB2BA4">
        <w:rPr>
          <w:rFonts w:ascii="Arial" w:eastAsia="Times New Roman" w:hAnsi="Arial" w:cs="Arial"/>
          <w:i/>
          <w:iCs/>
          <w:sz w:val="18"/>
          <w:szCs w:val="18"/>
        </w:rPr>
        <w:t>,</w:t>
      </w:r>
      <w:r w:rsidRPr="00AB2BA4">
        <w:rPr>
          <w:rFonts w:ascii="Arial" w:hAnsi="Arial" w:cs="Arial"/>
          <w:i/>
          <w:iCs/>
          <w:sz w:val="18"/>
          <w:szCs w:val="18"/>
        </w:rPr>
        <w:t xml:space="preserve"> was selected for further </w:t>
      </w:r>
      <w:r w:rsidRPr="00AB2BA4">
        <w:rPr>
          <w:rFonts w:ascii="Arial" w:eastAsia="Times New Roman" w:hAnsi="Arial" w:cs="Arial"/>
          <w:i/>
          <w:iCs/>
          <w:sz w:val="18"/>
          <w:szCs w:val="18"/>
        </w:rPr>
        <w:t>characterization</w:t>
      </w:r>
      <w:r w:rsidRPr="00AB2BA4">
        <w:rPr>
          <w:rFonts w:ascii="Arial" w:hAnsi="Arial" w:cs="Arial"/>
          <w:i/>
          <w:iCs/>
          <w:sz w:val="18"/>
          <w:szCs w:val="18"/>
        </w:rPr>
        <w:t xml:space="preserve">. </w:t>
      </w:r>
      <w:r w:rsidRPr="00AB2BA4">
        <w:rPr>
          <w:rFonts w:ascii="Arial" w:hAnsi="Arial" w:cs="Arial"/>
          <w:b/>
          <w:bCs/>
          <w:i/>
          <w:iCs/>
          <w:sz w:val="18"/>
          <w:szCs w:val="18"/>
        </w:rPr>
        <w:t>b</w:t>
      </w:r>
      <w:r w:rsidRPr="00AB2BA4">
        <w:rPr>
          <w:rFonts w:ascii="Arial" w:hAnsi="Arial" w:cs="Arial"/>
          <w:i/>
          <w:iCs/>
          <w:sz w:val="18"/>
          <w:szCs w:val="18"/>
        </w:rPr>
        <w:t>) Upon chemical fixation</w:t>
      </w:r>
      <w:r w:rsidRPr="00AB2BA4">
        <w:rPr>
          <w:rFonts w:ascii="Arial" w:eastAsia="Times New Roman" w:hAnsi="Arial" w:cs="Arial"/>
          <w:i/>
          <w:iCs/>
          <w:sz w:val="18"/>
          <w:szCs w:val="18"/>
        </w:rPr>
        <w:t>,</w:t>
      </w:r>
      <w:r w:rsidRPr="00AB2BA4">
        <w:rPr>
          <w:rFonts w:ascii="Arial" w:hAnsi="Arial" w:cs="Arial"/>
          <w:i/>
          <w:iCs/>
          <w:sz w:val="18"/>
          <w:szCs w:val="18"/>
        </w:rPr>
        <w:t xml:space="preserve"> the ability to recognize the epitope is lost. </w:t>
      </w:r>
      <w:r w:rsidRPr="00AB2BA4">
        <w:rPr>
          <w:rFonts w:ascii="Arial" w:hAnsi="Arial" w:cs="Arial"/>
          <w:b/>
          <w:bCs/>
          <w:i/>
          <w:iCs/>
          <w:sz w:val="18"/>
          <w:szCs w:val="18"/>
        </w:rPr>
        <w:t>c</w:t>
      </w:r>
      <w:r w:rsidRPr="00AB2BA4">
        <w:rPr>
          <w:rFonts w:ascii="Arial" w:hAnsi="Arial" w:cs="Arial"/>
          <w:i/>
          <w:iCs/>
          <w:sz w:val="18"/>
          <w:szCs w:val="18"/>
        </w:rPr>
        <w:t>) Protein sequence conservation analysis of the epitope bound by the nanobody reveals that this region is conserved and presents several lysins (K), which</w:t>
      </w:r>
      <w:r w:rsidRPr="00AB2BA4">
        <w:rPr>
          <w:rFonts w:ascii="Arial" w:eastAsia="Times New Roman" w:hAnsi="Arial" w:cs="Arial"/>
          <w:i/>
          <w:iCs/>
          <w:sz w:val="18"/>
          <w:szCs w:val="18"/>
        </w:rPr>
        <w:t>,</w:t>
      </w:r>
      <w:r w:rsidRPr="00AB2BA4">
        <w:rPr>
          <w:rFonts w:ascii="Arial" w:hAnsi="Arial" w:cs="Arial"/>
          <w:i/>
          <w:iCs/>
          <w:sz w:val="18"/>
          <w:szCs w:val="18"/>
        </w:rPr>
        <w:t xml:space="preserve"> upon fixation due to the reactivity of their primary amine group</w:t>
      </w:r>
      <w:r w:rsidRPr="00AB2BA4">
        <w:rPr>
          <w:rFonts w:ascii="Arial" w:eastAsia="Times New Roman" w:hAnsi="Arial" w:cs="Arial"/>
          <w:i/>
          <w:iCs/>
          <w:sz w:val="18"/>
          <w:szCs w:val="18"/>
        </w:rPr>
        <w:t>,</w:t>
      </w:r>
      <w:r w:rsidRPr="00AB2BA4">
        <w:rPr>
          <w:rFonts w:ascii="Arial" w:hAnsi="Arial" w:cs="Arial"/>
          <w:i/>
          <w:iCs/>
          <w:sz w:val="18"/>
          <w:szCs w:val="18"/>
        </w:rPr>
        <w:t xml:space="preserve"> can form methylene bridges with other surrounding molecules and lose their initial immunogenic properties</w:t>
      </w:r>
      <w:r w:rsidRPr="00AB2BA4">
        <w:rPr>
          <w:rFonts w:ascii="Arial" w:eastAsia="Times New Roman" w:hAnsi="Arial" w:cs="Arial"/>
          <w:i/>
          <w:iCs/>
          <w:sz w:val="18"/>
          <w:szCs w:val="18"/>
        </w:rPr>
        <w:t xml:space="preserve">. </w:t>
      </w:r>
      <w:r w:rsidRPr="00AB2BA4">
        <w:rPr>
          <w:rFonts w:ascii="Arial" w:eastAsia="Times New Roman" w:hAnsi="Arial" w:cs="Arial"/>
          <w:b/>
          <w:bCs/>
          <w:i/>
          <w:iCs/>
          <w:sz w:val="18"/>
          <w:szCs w:val="18"/>
        </w:rPr>
        <w:t>d</w:t>
      </w:r>
      <w:r w:rsidRPr="00AB2BA4">
        <w:rPr>
          <w:rFonts w:ascii="Arial" w:eastAsia="Times New Roman" w:hAnsi="Arial" w:cs="Arial"/>
          <w:i/>
          <w:iCs/>
          <w:sz w:val="18"/>
          <w:szCs w:val="18"/>
        </w:rPr>
        <w:t>) Colocalization of different nanobody fusion constructs upon live labelling of primary neurons which were fixed and counterstained with the anti-Syt1 cytoplasmatic domain (</w:t>
      </w:r>
      <w:proofErr w:type="spellStart"/>
      <w:r w:rsidRPr="00AB2BA4">
        <w:rPr>
          <w:rFonts w:ascii="Arial" w:eastAsia="Times New Roman" w:hAnsi="Arial" w:cs="Arial"/>
          <w:i/>
          <w:iCs/>
          <w:sz w:val="18"/>
          <w:szCs w:val="18"/>
        </w:rPr>
        <w:t>SySy</w:t>
      </w:r>
      <w:proofErr w:type="spellEnd"/>
      <w:r w:rsidRPr="00AB2BA4">
        <w:rPr>
          <w:rFonts w:ascii="Arial" w:eastAsia="Times New Roman" w:hAnsi="Arial" w:cs="Arial"/>
          <w:i/>
          <w:iCs/>
          <w:sz w:val="18"/>
          <w:szCs w:val="18"/>
        </w:rPr>
        <w:t xml:space="preserve"> 105 011). </w:t>
      </w:r>
      <w:r w:rsidRPr="00AB2BA4">
        <w:rPr>
          <w:rFonts w:ascii="Arial" w:eastAsia="DengXian" w:hAnsi="Arial" w:cs="Arial" w:hint="eastAsia"/>
          <w:i/>
          <w:iCs/>
          <w:sz w:val="18"/>
          <w:szCs w:val="18"/>
          <w:lang w:eastAsia="zh-CN"/>
        </w:rPr>
        <w:t>S</w:t>
      </w:r>
      <w:r w:rsidRPr="00AB2BA4">
        <w:rPr>
          <w:rFonts w:ascii="Arial" w:eastAsia="Times New Roman" w:hAnsi="Arial" w:cs="Arial"/>
          <w:i/>
          <w:iCs/>
          <w:sz w:val="18"/>
          <w:szCs w:val="18"/>
        </w:rPr>
        <w:t>cale bars</w:t>
      </w:r>
      <w:r w:rsidRPr="00AB2BA4">
        <w:rPr>
          <w:rFonts w:ascii="Arial" w:eastAsia="DengXian" w:hAnsi="Arial" w:cs="Arial" w:hint="eastAsia"/>
          <w:i/>
          <w:iCs/>
          <w:sz w:val="18"/>
          <w:szCs w:val="18"/>
          <w:lang w:eastAsia="zh-CN"/>
        </w:rPr>
        <w:t>:</w:t>
      </w:r>
      <w:r w:rsidRPr="00AB2BA4">
        <w:rPr>
          <w:rFonts w:ascii="Arial" w:eastAsia="Times New Roman" w:hAnsi="Arial" w:cs="Arial"/>
          <w:i/>
          <w:iCs/>
          <w:sz w:val="18"/>
          <w:szCs w:val="18"/>
        </w:rPr>
        <w:t xml:space="preserve"> 10 µm.</w:t>
      </w:r>
      <w:r w:rsidRPr="00AB2BA4">
        <w:rPr>
          <w:rFonts w:ascii="Arial" w:hAnsi="Arial" w:cs="Arial"/>
          <w:i/>
          <w:iCs/>
          <w:sz w:val="18"/>
          <w:szCs w:val="18"/>
        </w:rPr>
        <w:br w:type="page"/>
      </w:r>
    </w:p>
    <w:p w14:paraId="3CEE668C" w14:textId="77777777" w:rsidR="000546C6" w:rsidRPr="00AB2BA4" w:rsidRDefault="000546C6" w:rsidP="000546C6">
      <w:pPr>
        <w:contextualSpacing/>
        <w:jc w:val="center"/>
        <w:rPr>
          <w:rFonts w:ascii="Arial" w:hAnsi="Arial" w:cs="Arial"/>
          <w:b/>
          <w:bCs/>
          <w:i/>
          <w:iCs/>
          <w:sz w:val="18"/>
          <w:szCs w:val="18"/>
        </w:rPr>
      </w:pPr>
      <w:r w:rsidRPr="00AB2BA4">
        <w:rPr>
          <w:rFonts w:ascii="Arial" w:hAnsi="Arial" w:cs="Arial"/>
          <w:b/>
          <w:bCs/>
          <w:i/>
          <w:iCs/>
          <w:noProof/>
          <w:sz w:val="18"/>
          <w:szCs w:val="18"/>
        </w:rPr>
        <w:lastRenderedPageBreak/>
        <w:drawing>
          <wp:inline distT="0" distB="0" distL="0" distR="0" wp14:anchorId="797D69AA" wp14:editId="4D971DEF">
            <wp:extent cx="2612069" cy="5145206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6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478" t="10438" r="30239" b="3485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3350" cy="52068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0E0DC55" w14:textId="77777777" w:rsidR="000546C6" w:rsidRPr="00AB2BA4" w:rsidRDefault="000546C6" w:rsidP="000546C6">
      <w:pPr>
        <w:contextualSpacing/>
        <w:jc w:val="both"/>
        <w:rPr>
          <w:rFonts w:ascii="Arial" w:hAnsi="Arial" w:cs="Arial"/>
          <w:b/>
          <w:bCs/>
          <w:i/>
          <w:iCs/>
          <w:sz w:val="18"/>
          <w:szCs w:val="18"/>
        </w:rPr>
      </w:pPr>
      <w:r w:rsidRPr="00AB2BA4">
        <w:rPr>
          <w:rFonts w:ascii="Arial" w:hAnsi="Arial" w:cs="Arial"/>
          <w:b/>
          <w:bCs/>
          <w:i/>
          <w:iCs/>
          <w:sz w:val="18"/>
          <w:szCs w:val="18"/>
        </w:rPr>
        <w:t xml:space="preserve">Supplementary Fig. </w:t>
      </w:r>
      <w:r>
        <w:rPr>
          <w:rFonts w:ascii="Arial" w:hAnsi="Arial" w:cs="Arial"/>
          <w:b/>
          <w:bCs/>
          <w:i/>
          <w:iCs/>
          <w:sz w:val="18"/>
          <w:szCs w:val="18"/>
        </w:rPr>
        <w:t>2</w:t>
      </w:r>
      <w:r w:rsidRPr="00AB2BA4">
        <w:rPr>
          <w:rFonts w:ascii="Arial" w:hAnsi="Arial" w:cs="Arial"/>
          <w:b/>
          <w:bCs/>
          <w:i/>
          <w:iCs/>
          <w:sz w:val="18"/>
          <w:szCs w:val="18"/>
        </w:rPr>
        <w:t xml:space="preserve">: Additional measures </w:t>
      </w:r>
      <w:r w:rsidRPr="00AB2BA4">
        <w:rPr>
          <w:rFonts w:ascii="Arial" w:eastAsia="Times New Roman" w:hAnsi="Arial" w:cs="Arial"/>
          <w:b/>
          <w:bCs/>
          <w:i/>
          <w:iCs/>
          <w:sz w:val="18"/>
          <w:szCs w:val="18"/>
        </w:rPr>
        <w:t>related</w:t>
      </w:r>
      <w:r w:rsidRPr="00AB2BA4">
        <w:rPr>
          <w:rFonts w:ascii="Arial" w:hAnsi="Arial" w:cs="Arial"/>
          <w:b/>
          <w:bCs/>
          <w:i/>
          <w:iCs/>
          <w:sz w:val="18"/>
          <w:szCs w:val="18"/>
        </w:rPr>
        <w:t xml:space="preserve"> to Figure 2.</w:t>
      </w:r>
      <w:r w:rsidRPr="00AB2BA4">
        <w:rPr>
          <w:rFonts w:ascii="Arial" w:hAnsi="Arial" w:cs="Arial"/>
          <w:i/>
          <w:iCs/>
          <w:sz w:val="18"/>
          <w:szCs w:val="18"/>
        </w:rPr>
        <w:t xml:space="preserve"> </w:t>
      </w:r>
      <w:r w:rsidRPr="00AB2BA4">
        <w:rPr>
          <w:rFonts w:ascii="Arial" w:hAnsi="Arial" w:cs="Arial"/>
          <w:b/>
          <w:bCs/>
          <w:i/>
          <w:iCs/>
          <w:sz w:val="18"/>
          <w:szCs w:val="18"/>
        </w:rPr>
        <w:t>a, b</w:t>
      </w:r>
      <w:r w:rsidRPr="00AB2BA4">
        <w:rPr>
          <w:rFonts w:ascii="Arial" w:hAnsi="Arial" w:cs="Arial"/>
          <w:i/>
          <w:iCs/>
          <w:sz w:val="18"/>
          <w:szCs w:val="18"/>
        </w:rPr>
        <w:t xml:space="preserve">) Electron tomographic </w:t>
      </w:r>
      <w:proofErr w:type="spellStart"/>
      <w:r w:rsidRPr="00AB2BA4">
        <w:rPr>
          <w:rFonts w:ascii="Arial" w:eastAsia="Times New Roman" w:hAnsi="Arial" w:cs="Arial"/>
          <w:i/>
          <w:iCs/>
          <w:sz w:val="18"/>
          <w:szCs w:val="18"/>
        </w:rPr>
        <w:t>subvolumes</w:t>
      </w:r>
      <w:proofErr w:type="spellEnd"/>
      <w:r w:rsidRPr="00AB2BA4">
        <w:rPr>
          <w:rFonts w:ascii="Arial" w:hAnsi="Arial" w:cs="Arial"/>
          <w:i/>
          <w:iCs/>
          <w:sz w:val="18"/>
          <w:szCs w:val="18"/>
        </w:rPr>
        <w:t xml:space="preserve"> acquired at 36</w:t>
      </w:r>
      <w:r w:rsidRPr="00AB2BA4">
        <w:rPr>
          <w:rFonts w:ascii="Arial" w:eastAsia="Times New Roman" w:hAnsi="Arial" w:cs="Arial"/>
          <w:i/>
          <w:iCs/>
          <w:sz w:val="18"/>
          <w:szCs w:val="18"/>
        </w:rPr>
        <w:t>000x</w:t>
      </w:r>
      <w:r w:rsidRPr="00AB2BA4">
        <w:rPr>
          <w:rFonts w:ascii="Arial" w:hAnsi="Arial" w:cs="Arial"/>
          <w:i/>
          <w:iCs/>
          <w:sz w:val="18"/>
          <w:szCs w:val="18"/>
        </w:rPr>
        <w:t xml:space="preserve"> magnification (voxel size </w:t>
      </w:r>
      <w:proofErr w:type="spellStart"/>
      <w:proofErr w:type="gramStart"/>
      <w:r w:rsidRPr="00AB2BA4">
        <w:rPr>
          <w:rFonts w:ascii="Arial" w:hAnsi="Arial" w:cs="Arial"/>
          <w:i/>
          <w:iCs/>
          <w:sz w:val="18"/>
          <w:szCs w:val="18"/>
        </w:rPr>
        <w:t>x,y</w:t>
      </w:r>
      <w:proofErr w:type="gramEnd"/>
      <w:r w:rsidRPr="00AB2BA4">
        <w:rPr>
          <w:rFonts w:ascii="Arial" w:hAnsi="Arial" w:cs="Arial"/>
          <w:i/>
          <w:iCs/>
          <w:sz w:val="18"/>
          <w:szCs w:val="18"/>
        </w:rPr>
        <w:t>,z</w:t>
      </w:r>
      <w:proofErr w:type="spellEnd"/>
      <w:r w:rsidRPr="00AB2BA4">
        <w:rPr>
          <w:rFonts w:ascii="Arial" w:hAnsi="Arial" w:cs="Arial"/>
          <w:i/>
          <w:iCs/>
          <w:sz w:val="18"/>
          <w:szCs w:val="18"/>
        </w:rPr>
        <w:t xml:space="preserve"> = 1.2 nm; z-projection = 5 slices) illustrating gold-</w:t>
      </w:r>
      <w:r w:rsidRPr="00AB2BA4">
        <w:rPr>
          <w:rFonts w:ascii="Arial" w:eastAsia="Times New Roman" w:hAnsi="Arial" w:cs="Arial"/>
          <w:i/>
          <w:iCs/>
          <w:sz w:val="18"/>
          <w:szCs w:val="18"/>
        </w:rPr>
        <w:t>labeled</w:t>
      </w:r>
      <w:r w:rsidRPr="00AB2BA4">
        <w:rPr>
          <w:rFonts w:ascii="Arial" w:hAnsi="Arial" w:cs="Arial"/>
          <w:i/>
          <w:iCs/>
          <w:sz w:val="18"/>
          <w:szCs w:val="18"/>
        </w:rPr>
        <w:t xml:space="preserve"> clear-core synaptic vesicles (</w:t>
      </w:r>
      <w:r w:rsidRPr="00AB2BA4">
        <w:rPr>
          <w:rFonts w:ascii="Arial" w:eastAsia="Times New Roman" w:hAnsi="Arial" w:cs="Arial"/>
          <w:i/>
          <w:iCs/>
          <w:sz w:val="18"/>
          <w:szCs w:val="18"/>
        </w:rPr>
        <w:t>CCSV</w:t>
      </w:r>
      <w:r w:rsidRPr="00AB2BA4">
        <w:rPr>
          <w:rFonts w:ascii="Arial" w:eastAsia="Times New Roman" w:hAnsi="Arial" w:cs="Arial"/>
          <w:i/>
          <w:iCs/>
          <w:sz w:val="18"/>
          <w:szCs w:val="18"/>
          <w:vertAlign w:val="superscript"/>
        </w:rPr>
        <w:t>G</w:t>
      </w:r>
      <w:r w:rsidRPr="00AB2BA4">
        <w:rPr>
          <w:rFonts w:ascii="Arial" w:hAnsi="Arial" w:cs="Arial"/>
          <w:i/>
          <w:iCs/>
          <w:sz w:val="18"/>
          <w:szCs w:val="18"/>
        </w:rPr>
        <w:t>) from the NbLumSyt1-ALFA-tag:NbALFA-Gold complex (NbLumSyt1)</w:t>
      </w:r>
      <w:r w:rsidRPr="00AB2BA4">
        <w:rPr>
          <w:rFonts w:ascii="Arial" w:eastAsia="Times New Roman" w:hAnsi="Arial" w:cs="Arial"/>
          <w:i/>
          <w:iCs/>
          <w:sz w:val="18"/>
          <w:szCs w:val="18"/>
        </w:rPr>
        <w:t>-</w:t>
      </w:r>
      <w:r w:rsidRPr="00AB2BA4">
        <w:rPr>
          <w:rFonts w:ascii="Arial" w:hAnsi="Arial" w:cs="Arial"/>
          <w:i/>
          <w:iCs/>
          <w:sz w:val="18"/>
          <w:szCs w:val="18"/>
        </w:rPr>
        <w:t>treated synapses. A single luminal gold particle (a) and a cluster (b) are shown (red outline indicates automatic segmentation of gold used to estimate luminal gold-</w:t>
      </w:r>
      <w:r w:rsidRPr="00AB2BA4">
        <w:rPr>
          <w:rFonts w:ascii="Arial" w:eastAsia="Times New Roman" w:hAnsi="Arial" w:cs="Arial"/>
          <w:i/>
          <w:iCs/>
          <w:sz w:val="18"/>
          <w:szCs w:val="18"/>
        </w:rPr>
        <w:t>labeled</w:t>
      </w:r>
      <w:r w:rsidRPr="00AB2BA4">
        <w:rPr>
          <w:rFonts w:ascii="Arial" w:hAnsi="Arial" w:cs="Arial"/>
          <w:i/>
          <w:iCs/>
          <w:sz w:val="18"/>
          <w:szCs w:val="18"/>
        </w:rPr>
        <w:t xml:space="preserve"> volumes</w:t>
      </w:r>
      <w:r w:rsidRPr="00AB2BA4">
        <w:rPr>
          <w:rFonts w:ascii="Arial" w:eastAsia="Times New Roman" w:hAnsi="Arial" w:cs="Arial"/>
          <w:i/>
          <w:iCs/>
          <w:sz w:val="18"/>
          <w:szCs w:val="18"/>
        </w:rPr>
        <w:t>)</w:t>
      </w:r>
      <w:r w:rsidRPr="00AB2BA4">
        <w:rPr>
          <w:rFonts w:ascii="Arial" w:hAnsi="Arial" w:cs="Arial"/>
          <w:i/>
          <w:iCs/>
          <w:sz w:val="18"/>
          <w:szCs w:val="18"/>
        </w:rPr>
        <w:t xml:space="preserve">. </w:t>
      </w:r>
      <w:r w:rsidRPr="00AB2BA4">
        <w:rPr>
          <w:rFonts w:ascii="Arial" w:hAnsi="Arial" w:cs="Arial"/>
          <w:b/>
          <w:bCs/>
          <w:i/>
          <w:iCs/>
          <w:sz w:val="18"/>
          <w:szCs w:val="18"/>
        </w:rPr>
        <w:t>c</w:t>
      </w:r>
      <w:r w:rsidRPr="00AB2BA4">
        <w:rPr>
          <w:rFonts w:ascii="Arial" w:hAnsi="Arial" w:cs="Arial"/>
          <w:i/>
          <w:iCs/>
          <w:sz w:val="18"/>
          <w:szCs w:val="18"/>
        </w:rPr>
        <w:t>) Plot demonstrating the linear relationship between the number of manually quantified luminal gold particles and corresponding unbiased volume estimates in individual vesicles from a tomogram acquired from an NbLumSyt1-ALFA-</w:t>
      </w:r>
      <w:proofErr w:type="gramStart"/>
      <w:r w:rsidRPr="00AB2BA4">
        <w:rPr>
          <w:rFonts w:ascii="Arial" w:hAnsi="Arial" w:cs="Arial"/>
          <w:i/>
          <w:iCs/>
          <w:sz w:val="18"/>
          <w:szCs w:val="18"/>
        </w:rPr>
        <w:t>tag:NbALFA</w:t>
      </w:r>
      <w:proofErr w:type="gramEnd"/>
      <w:r w:rsidRPr="00AB2BA4">
        <w:rPr>
          <w:rFonts w:ascii="Arial" w:hAnsi="Arial" w:cs="Arial"/>
          <w:i/>
          <w:iCs/>
          <w:sz w:val="18"/>
          <w:szCs w:val="18"/>
        </w:rPr>
        <w:t>-Gold complex</w:t>
      </w:r>
      <w:r w:rsidRPr="00AB2BA4">
        <w:rPr>
          <w:rFonts w:ascii="Arial" w:eastAsia="Times New Roman" w:hAnsi="Arial" w:cs="Arial"/>
          <w:i/>
          <w:iCs/>
          <w:sz w:val="18"/>
          <w:szCs w:val="18"/>
        </w:rPr>
        <w:t>-</w:t>
      </w:r>
      <w:r w:rsidRPr="00AB2BA4">
        <w:rPr>
          <w:rFonts w:ascii="Arial" w:hAnsi="Arial" w:cs="Arial"/>
          <w:i/>
          <w:iCs/>
          <w:sz w:val="18"/>
          <w:szCs w:val="18"/>
        </w:rPr>
        <w:t xml:space="preserve">treated synapse. </w:t>
      </w:r>
      <w:r w:rsidRPr="00AB2BA4">
        <w:rPr>
          <w:rFonts w:ascii="Arial" w:hAnsi="Arial" w:cs="Arial"/>
          <w:b/>
          <w:bCs/>
          <w:i/>
          <w:iCs/>
          <w:sz w:val="18"/>
          <w:szCs w:val="18"/>
        </w:rPr>
        <w:t>d-f</w:t>
      </w:r>
      <w:r w:rsidRPr="00AB2BA4">
        <w:rPr>
          <w:rFonts w:ascii="Arial" w:hAnsi="Arial" w:cs="Arial"/>
          <w:i/>
          <w:iCs/>
          <w:sz w:val="18"/>
          <w:szCs w:val="18"/>
        </w:rPr>
        <w:t xml:space="preserve">) Electron tomographic </w:t>
      </w:r>
      <w:proofErr w:type="spellStart"/>
      <w:r w:rsidRPr="00AB2BA4">
        <w:rPr>
          <w:rFonts w:ascii="Arial" w:eastAsia="Times New Roman" w:hAnsi="Arial" w:cs="Arial"/>
          <w:i/>
          <w:iCs/>
          <w:sz w:val="18"/>
          <w:szCs w:val="18"/>
        </w:rPr>
        <w:t>subvolume</w:t>
      </w:r>
      <w:proofErr w:type="spellEnd"/>
      <w:r w:rsidRPr="00AB2BA4">
        <w:rPr>
          <w:rFonts w:ascii="Arial" w:hAnsi="Arial" w:cs="Arial"/>
          <w:i/>
          <w:iCs/>
          <w:sz w:val="18"/>
          <w:szCs w:val="18"/>
        </w:rPr>
        <w:t xml:space="preserve"> acquired at 57</w:t>
      </w:r>
      <w:r w:rsidRPr="00AB2BA4">
        <w:rPr>
          <w:rFonts w:ascii="Arial" w:eastAsia="Times New Roman" w:hAnsi="Arial" w:cs="Arial"/>
          <w:i/>
          <w:iCs/>
          <w:sz w:val="18"/>
          <w:szCs w:val="18"/>
        </w:rPr>
        <w:t>000x</w:t>
      </w:r>
      <w:r w:rsidRPr="00AB2BA4">
        <w:rPr>
          <w:rFonts w:ascii="Arial" w:hAnsi="Arial" w:cs="Arial"/>
          <w:i/>
          <w:iCs/>
          <w:sz w:val="18"/>
          <w:szCs w:val="18"/>
        </w:rPr>
        <w:t xml:space="preserve"> magnification (voxel size </w:t>
      </w:r>
      <w:proofErr w:type="spellStart"/>
      <w:proofErr w:type="gramStart"/>
      <w:r w:rsidRPr="00AB2BA4">
        <w:rPr>
          <w:rFonts w:ascii="Arial" w:hAnsi="Arial" w:cs="Arial"/>
          <w:i/>
          <w:iCs/>
          <w:sz w:val="18"/>
          <w:szCs w:val="18"/>
        </w:rPr>
        <w:t>x,y</w:t>
      </w:r>
      <w:proofErr w:type="gramEnd"/>
      <w:r w:rsidRPr="00AB2BA4">
        <w:rPr>
          <w:rFonts w:ascii="Arial" w:hAnsi="Arial" w:cs="Arial"/>
          <w:i/>
          <w:iCs/>
          <w:sz w:val="18"/>
          <w:szCs w:val="18"/>
        </w:rPr>
        <w:t>,z</w:t>
      </w:r>
      <w:proofErr w:type="spellEnd"/>
      <w:r w:rsidRPr="00AB2BA4">
        <w:rPr>
          <w:rFonts w:ascii="Arial" w:hAnsi="Arial" w:cs="Arial"/>
          <w:i/>
          <w:iCs/>
          <w:sz w:val="18"/>
          <w:szCs w:val="18"/>
        </w:rPr>
        <w:t xml:space="preserve"> = 0.5 nm; z-projection = 6 slices) from an NbLumSyt1-ALFA-tag:NbALFA-Gold complex</w:t>
      </w:r>
      <w:r w:rsidRPr="00AB2BA4">
        <w:rPr>
          <w:rFonts w:ascii="Arial" w:eastAsia="Times New Roman" w:hAnsi="Arial" w:cs="Arial"/>
          <w:i/>
          <w:iCs/>
          <w:sz w:val="18"/>
          <w:szCs w:val="18"/>
        </w:rPr>
        <w:t>-</w:t>
      </w:r>
      <w:r w:rsidRPr="00AB2BA4">
        <w:rPr>
          <w:rFonts w:ascii="Arial" w:hAnsi="Arial" w:cs="Arial"/>
          <w:i/>
          <w:iCs/>
          <w:sz w:val="18"/>
          <w:szCs w:val="18"/>
        </w:rPr>
        <w:t>treated synapse in which a single luminal gold particle is clearly resolved (</w:t>
      </w:r>
      <w:r w:rsidRPr="00AB2BA4">
        <w:rPr>
          <w:rFonts w:ascii="Arial" w:hAnsi="Arial" w:cs="Arial"/>
          <w:b/>
          <w:bCs/>
          <w:i/>
          <w:iCs/>
          <w:sz w:val="18"/>
          <w:szCs w:val="18"/>
        </w:rPr>
        <w:t>d</w:t>
      </w:r>
      <w:r w:rsidRPr="00AB2BA4">
        <w:rPr>
          <w:rFonts w:ascii="Arial" w:hAnsi="Arial" w:cs="Arial"/>
          <w:i/>
          <w:iCs/>
          <w:sz w:val="18"/>
          <w:szCs w:val="18"/>
        </w:rPr>
        <w:t>). An enlargement (</w:t>
      </w:r>
      <w:r w:rsidRPr="00AB2BA4">
        <w:rPr>
          <w:rFonts w:ascii="Arial" w:hAnsi="Arial" w:cs="Arial"/>
          <w:b/>
          <w:bCs/>
          <w:i/>
          <w:iCs/>
          <w:sz w:val="18"/>
          <w:szCs w:val="18"/>
        </w:rPr>
        <w:t>e</w:t>
      </w:r>
      <w:r w:rsidRPr="00AB2BA4">
        <w:rPr>
          <w:rFonts w:ascii="Arial" w:hAnsi="Arial" w:cs="Arial"/>
          <w:i/>
          <w:iCs/>
          <w:sz w:val="18"/>
          <w:szCs w:val="18"/>
        </w:rPr>
        <w:t xml:space="preserve">) indicates orthogonally positioned line profiles centered on the gold particle (blue, x-axis; orange, y-axis; </w:t>
      </w:r>
      <w:r w:rsidRPr="00AB2BA4">
        <w:rPr>
          <w:rFonts w:ascii="Arial" w:eastAsia="Times New Roman" w:hAnsi="Arial" w:cs="Arial"/>
          <w:i/>
          <w:iCs/>
          <w:sz w:val="18"/>
          <w:szCs w:val="18"/>
        </w:rPr>
        <w:t>gray</w:t>
      </w:r>
      <w:r w:rsidRPr="00AB2BA4">
        <w:rPr>
          <w:rFonts w:ascii="Arial" w:hAnsi="Arial" w:cs="Arial"/>
          <w:i/>
          <w:iCs/>
          <w:sz w:val="18"/>
          <w:szCs w:val="18"/>
        </w:rPr>
        <w:t xml:space="preserve">, z-axis). </w:t>
      </w:r>
      <w:r w:rsidRPr="00AB2BA4">
        <w:rPr>
          <w:rFonts w:ascii="Arial" w:eastAsia="Times New Roman" w:hAnsi="Arial" w:cs="Arial"/>
          <w:i/>
          <w:iCs/>
          <w:sz w:val="18"/>
          <w:szCs w:val="18"/>
        </w:rPr>
        <w:t>The corresponding</w:t>
      </w:r>
      <w:r w:rsidRPr="00AB2BA4">
        <w:rPr>
          <w:rFonts w:ascii="Arial" w:hAnsi="Arial" w:cs="Arial"/>
          <w:i/>
          <w:iCs/>
          <w:sz w:val="18"/>
          <w:szCs w:val="18"/>
        </w:rPr>
        <w:t xml:space="preserve"> intensity profiles (</w:t>
      </w:r>
      <w:r w:rsidRPr="00AB2BA4">
        <w:rPr>
          <w:rFonts w:ascii="Arial" w:hAnsi="Arial" w:cs="Arial"/>
          <w:b/>
          <w:bCs/>
          <w:i/>
          <w:iCs/>
          <w:sz w:val="18"/>
          <w:szCs w:val="18"/>
        </w:rPr>
        <w:t>f</w:t>
      </w:r>
      <w:r w:rsidRPr="00AB2BA4">
        <w:rPr>
          <w:rFonts w:ascii="Arial" w:hAnsi="Arial" w:cs="Arial"/>
          <w:i/>
          <w:iCs/>
          <w:sz w:val="18"/>
          <w:szCs w:val="18"/>
        </w:rPr>
        <w:t xml:space="preserve">) </w:t>
      </w:r>
      <w:r w:rsidRPr="00AB2BA4">
        <w:rPr>
          <w:rFonts w:ascii="Arial" w:eastAsia="Times New Roman" w:hAnsi="Arial" w:cs="Arial"/>
          <w:i/>
          <w:iCs/>
          <w:sz w:val="18"/>
          <w:szCs w:val="18"/>
        </w:rPr>
        <w:t xml:space="preserve">are </w:t>
      </w:r>
      <w:r w:rsidRPr="00AB2BA4">
        <w:rPr>
          <w:rFonts w:ascii="Arial" w:hAnsi="Arial" w:cs="Arial"/>
          <w:i/>
          <w:iCs/>
          <w:sz w:val="18"/>
          <w:szCs w:val="18"/>
        </w:rPr>
        <w:t xml:space="preserve">consistent with the detection of an individual 3 nm gold particle. Scale bars: </w:t>
      </w:r>
      <w:r w:rsidRPr="00AB2BA4">
        <w:rPr>
          <w:rFonts w:ascii="Arial" w:eastAsia="DengXian" w:hAnsi="Arial" w:cs="Arial" w:hint="eastAsia"/>
          <w:i/>
          <w:iCs/>
          <w:sz w:val="18"/>
          <w:szCs w:val="18"/>
          <w:lang w:eastAsia="zh-CN"/>
        </w:rPr>
        <w:t xml:space="preserve">10 nm in </w:t>
      </w:r>
      <w:r w:rsidRPr="00AB2BA4">
        <w:rPr>
          <w:rFonts w:ascii="Arial" w:hAnsi="Arial" w:cs="Arial"/>
          <w:b/>
          <w:bCs/>
          <w:i/>
          <w:iCs/>
          <w:sz w:val="18"/>
          <w:szCs w:val="18"/>
        </w:rPr>
        <w:t>a</w:t>
      </w:r>
      <w:r w:rsidRPr="00AB2BA4">
        <w:rPr>
          <w:rFonts w:ascii="Arial" w:hAnsi="Arial" w:cs="Arial"/>
          <w:i/>
          <w:iCs/>
          <w:sz w:val="18"/>
          <w:szCs w:val="18"/>
        </w:rPr>
        <w:t xml:space="preserve">, </w:t>
      </w:r>
      <w:r w:rsidRPr="00AB2BA4">
        <w:rPr>
          <w:rFonts w:ascii="Arial" w:hAnsi="Arial" w:cs="Arial"/>
          <w:b/>
          <w:bCs/>
          <w:i/>
          <w:iCs/>
          <w:sz w:val="18"/>
          <w:szCs w:val="18"/>
        </w:rPr>
        <w:t>b</w:t>
      </w:r>
      <w:r w:rsidRPr="00AB2BA4">
        <w:rPr>
          <w:rFonts w:ascii="Arial" w:hAnsi="Arial" w:cs="Arial"/>
          <w:i/>
          <w:iCs/>
          <w:sz w:val="18"/>
          <w:szCs w:val="18"/>
        </w:rPr>
        <w:t xml:space="preserve">, </w:t>
      </w:r>
      <w:r w:rsidRPr="00AB2BA4">
        <w:rPr>
          <w:rFonts w:ascii="Arial" w:eastAsia="DengXian" w:hAnsi="Arial" w:cs="Arial" w:hint="eastAsia"/>
          <w:i/>
          <w:iCs/>
          <w:sz w:val="18"/>
          <w:szCs w:val="18"/>
          <w:lang w:eastAsia="zh-CN"/>
        </w:rPr>
        <w:t xml:space="preserve">and </w:t>
      </w:r>
      <w:r w:rsidRPr="00AB2BA4">
        <w:rPr>
          <w:rFonts w:ascii="Arial" w:hAnsi="Arial" w:cs="Arial"/>
          <w:b/>
          <w:bCs/>
          <w:i/>
          <w:iCs/>
          <w:sz w:val="18"/>
          <w:szCs w:val="18"/>
        </w:rPr>
        <w:t>d</w:t>
      </w:r>
      <w:r w:rsidRPr="00AB2BA4">
        <w:rPr>
          <w:rFonts w:ascii="Arial" w:eastAsia="DengXian" w:hAnsi="Arial" w:cs="Arial" w:hint="eastAsia"/>
          <w:i/>
          <w:iCs/>
          <w:sz w:val="18"/>
          <w:szCs w:val="18"/>
          <w:lang w:eastAsia="zh-CN"/>
        </w:rPr>
        <w:t>;</w:t>
      </w:r>
      <w:r w:rsidRPr="00AB2BA4">
        <w:rPr>
          <w:rFonts w:ascii="Arial" w:hAnsi="Arial" w:cs="Arial"/>
          <w:i/>
          <w:iCs/>
          <w:sz w:val="18"/>
          <w:szCs w:val="18"/>
        </w:rPr>
        <w:t xml:space="preserve"> 3 nm</w:t>
      </w:r>
      <w:r w:rsidRPr="00AB2BA4">
        <w:rPr>
          <w:rFonts w:ascii="Arial" w:eastAsia="DengXian" w:hAnsi="Arial" w:cs="Arial" w:hint="eastAsia"/>
          <w:i/>
          <w:iCs/>
          <w:sz w:val="18"/>
          <w:szCs w:val="18"/>
          <w:lang w:eastAsia="zh-CN"/>
        </w:rPr>
        <w:t xml:space="preserve"> in </w:t>
      </w:r>
      <w:r w:rsidRPr="00AB2BA4">
        <w:rPr>
          <w:rFonts w:ascii="Arial" w:eastAsia="DengXian" w:hAnsi="Arial" w:cs="Arial"/>
          <w:b/>
          <w:bCs/>
          <w:i/>
          <w:iCs/>
          <w:sz w:val="18"/>
          <w:szCs w:val="18"/>
          <w:lang w:eastAsia="zh-CN"/>
        </w:rPr>
        <w:t>e</w:t>
      </w:r>
      <w:r w:rsidRPr="00AB2BA4">
        <w:rPr>
          <w:rFonts w:ascii="Arial" w:hAnsi="Arial" w:cs="Arial"/>
          <w:i/>
          <w:iCs/>
          <w:sz w:val="18"/>
          <w:szCs w:val="18"/>
        </w:rPr>
        <w:t xml:space="preserve">. </w:t>
      </w:r>
      <w:r w:rsidRPr="00AB2BA4">
        <w:rPr>
          <w:rFonts w:ascii="Arial" w:hAnsi="Arial" w:cs="Arial"/>
          <w:b/>
          <w:bCs/>
          <w:i/>
          <w:iCs/>
          <w:sz w:val="18"/>
          <w:szCs w:val="18"/>
        </w:rPr>
        <w:br w:type="page"/>
      </w:r>
    </w:p>
    <w:p w14:paraId="6D7169B0" w14:textId="77777777" w:rsidR="000546C6" w:rsidRPr="00AB2BA4" w:rsidRDefault="000546C6" w:rsidP="000546C6">
      <w:pPr>
        <w:contextualSpacing/>
        <w:jc w:val="center"/>
        <w:rPr>
          <w:rFonts w:ascii="Arial" w:hAnsi="Arial" w:cs="Arial"/>
          <w:b/>
          <w:bCs/>
          <w:i/>
          <w:iCs/>
          <w:sz w:val="18"/>
          <w:szCs w:val="18"/>
        </w:rPr>
      </w:pPr>
      <w:r w:rsidRPr="00AB2BA4">
        <w:rPr>
          <w:rFonts w:ascii="Arial" w:hAnsi="Arial" w:cs="Arial"/>
          <w:b/>
          <w:bCs/>
          <w:i/>
          <w:iCs/>
          <w:noProof/>
          <w:sz w:val="18"/>
          <w:szCs w:val="18"/>
        </w:rPr>
        <w:lastRenderedPageBreak/>
        <w:drawing>
          <wp:inline distT="0" distB="0" distL="0" distR="0" wp14:anchorId="7F887040" wp14:editId="304747FA">
            <wp:extent cx="5584371" cy="5093436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561" t="9963" r="8999" b="341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94302" cy="51024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2F089B6" w14:textId="77777777" w:rsidR="000546C6" w:rsidRPr="00AB2BA4" w:rsidRDefault="000546C6" w:rsidP="000546C6">
      <w:pPr>
        <w:contextualSpacing/>
        <w:jc w:val="both"/>
        <w:rPr>
          <w:rFonts w:ascii="Arial" w:hAnsi="Arial" w:cs="Arial"/>
          <w:i/>
          <w:iCs/>
          <w:sz w:val="18"/>
          <w:szCs w:val="18"/>
        </w:rPr>
      </w:pPr>
      <w:r w:rsidRPr="00AB2BA4">
        <w:rPr>
          <w:rFonts w:ascii="Arial" w:hAnsi="Arial" w:cs="Arial"/>
          <w:b/>
          <w:bCs/>
          <w:i/>
          <w:iCs/>
          <w:sz w:val="18"/>
          <w:szCs w:val="18"/>
        </w:rPr>
        <w:t xml:space="preserve">Supplementary Fig. </w:t>
      </w:r>
      <w:r>
        <w:rPr>
          <w:rFonts w:ascii="Arial" w:hAnsi="Arial" w:cs="Arial"/>
          <w:b/>
          <w:bCs/>
          <w:i/>
          <w:iCs/>
          <w:sz w:val="18"/>
          <w:szCs w:val="18"/>
        </w:rPr>
        <w:t>3</w:t>
      </w:r>
      <w:r w:rsidRPr="00AB2BA4">
        <w:rPr>
          <w:rFonts w:ascii="Arial" w:hAnsi="Arial" w:cs="Arial"/>
          <w:b/>
          <w:bCs/>
          <w:i/>
          <w:iCs/>
          <w:sz w:val="18"/>
          <w:szCs w:val="18"/>
        </w:rPr>
        <w:t>: TEV protease-cleavable versions of NbLumSyt1 for studying the readily</w:t>
      </w:r>
      <w:r w:rsidRPr="00AB2BA4">
        <w:rPr>
          <w:rFonts w:ascii="Arial" w:eastAsia="Times New Roman" w:hAnsi="Arial" w:cs="Arial"/>
          <w:b/>
          <w:bCs/>
          <w:i/>
          <w:iCs/>
          <w:sz w:val="18"/>
          <w:szCs w:val="18"/>
        </w:rPr>
        <w:t xml:space="preserve"> </w:t>
      </w:r>
      <w:r w:rsidRPr="00AB2BA4">
        <w:rPr>
          <w:rFonts w:ascii="Arial" w:hAnsi="Arial" w:cs="Arial"/>
          <w:b/>
          <w:bCs/>
          <w:i/>
          <w:iCs/>
          <w:sz w:val="18"/>
          <w:szCs w:val="18"/>
        </w:rPr>
        <w:t>retrievable pool of synaptic vesicles. a</w:t>
      </w:r>
      <w:r w:rsidRPr="00AB2BA4">
        <w:rPr>
          <w:rFonts w:ascii="Arial" w:hAnsi="Arial" w:cs="Arial"/>
          <w:i/>
          <w:iCs/>
          <w:sz w:val="18"/>
          <w:szCs w:val="18"/>
        </w:rPr>
        <w:t xml:space="preserve">) </w:t>
      </w:r>
      <w:r w:rsidRPr="00AB2BA4">
        <w:rPr>
          <w:rFonts w:ascii="Arial" w:eastAsia="Times New Roman" w:hAnsi="Arial" w:cs="Arial"/>
          <w:i/>
          <w:iCs/>
          <w:sz w:val="18"/>
          <w:szCs w:val="18"/>
        </w:rPr>
        <w:t>SDS‒PAGE analysis of</w:t>
      </w:r>
      <w:r w:rsidRPr="00AB2BA4">
        <w:rPr>
          <w:rFonts w:ascii="Arial" w:hAnsi="Arial" w:cs="Arial"/>
          <w:i/>
          <w:iCs/>
          <w:sz w:val="18"/>
          <w:szCs w:val="18"/>
        </w:rPr>
        <w:t xml:space="preserve"> NbLumSyt1-TEV-Halo, either alone or in complex with </w:t>
      </w:r>
      <w:r w:rsidRPr="00AB2BA4">
        <w:rPr>
          <w:rFonts w:ascii="Arial" w:eastAsia="Times New Roman" w:hAnsi="Arial" w:cs="Arial"/>
          <w:i/>
          <w:iCs/>
          <w:sz w:val="18"/>
          <w:szCs w:val="18"/>
        </w:rPr>
        <w:t xml:space="preserve">the </w:t>
      </w:r>
      <w:r w:rsidRPr="00AB2BA4">
        <w:rPr>
          <w:rFonts w:ascii="Arial" w:hAnsi="Arial" w:cs="Arial"/>
          <w:i/>
          <w:iCs/>
          <w:sz w:val="18"/>
          <w:szCs w:val="18"/>
        </w:rPr>
        <w:t>TMR-labeled Halo ligand, before and after TEV protease treatment. Upon TEV cleavage</w:t>
      </w:r>
      <w:r w:rsidRPr="00AB2BA4">
        <w:rPr>
          <w:rFonts w:ascii="Arial" w:eastAsia="Times New Roman" w:hAnsi="Arial" w:cs="Arial"/>
          <w:i/>
          <w:iCs/>
          <w:sz w:val="18"/>
          <w:szCs w:val="18"/>
        </w:rPr>
        <w:t>,</w:t>
      </w:r>
      <w:r w:rsidRPr="00AB2BA4">
        <w:rPr>
          <w:rFonts w:ascii="Arial" w:hAnsi="Arial" w:cs="Arial"/>
          <w:i/>
          <w:iCs/>
          <w:sz w:val="18"/>
          <w:szCs w:val="18"/>
        </w:rPr>
        <w:t xml:space="preserve"> the NbLumSyt1-TEV-Halo/TMR ligand complex reveals two bands, with the lower </w:t>
      </w:r>
      <w:r w:rsidRPr="00AB2BA4">
        <w:rPr>
          <w:rFonts w:ascii="Arial" w:eastAsia="Times New Roman" w:hAnsi="Arial" w:cs="Arial"/>
          <w:i/>
          <w:iCs/>
          <w:sz w:val="18"/>
          <w:szCs w:val="18"/>
        </w:rPr>
        <w:t>band</w:t>
      </w:r>
      <w:r w:rsidRPr="00AB2BA4">
        <w:rPr>
          <w:rFonts w:ascii="Arial" w:hAnsi="Arial" w:cs="Arial"/>
          <w:i/>
          <w:iCs/>
          <w:sz w:val="18"/>
          <w:szCs w:val="18"/>
        </w:rPr>
        <w:t xml:space="preserve"> containing the Halo-Tag/Halo ligand complex and </w:t>
      </w:r>
      <w:r w:rsidRPr="00AB2BA4">
        <w:rPr>
          <w:rFonts w:ascii="Arial" w:eastAsia="Times New Roman" w:hAnsi="Arial" w:cs="Arial"/>
          <w:i/>
          <w:iCs/>
          <w:sz w:val="18"/>
          <w:szCs w:val="18"/>
        </w:rPr>
        <w:t>being</w:t>
      </w:r>
      <w:r w:rsidRPr="00AB2BA4">
        <w:rPr>
          <w:rFonts w:ascii="Arial" w:hAnsi="Arial" w:cs="Arial"/>
          <w:i/>
          <w:iCs/>
          <w:sz w:val="18"/>
          <w:szCs w:val="18"/>
        </w:rPr>
        <w:t xml:space="preserve"> fluorescent (lower image) and </w:t>
      </w:r>
      <w:r w:rsidRPr="00AB2BA4">
        <w:rPr>
          <w:rFonts w:ascii="Arial" w:eastAsia="Times New Roman" w:hAnsi="Arial" w:cs="Arial"/>
          <w:i/>
          <w:iCs/>
          <w:sz w:val="18"/>
          <w:szCs w:val="18"/>
        </w:rPr>
        <w:t>the</w:t>
      </w:r>
      <w:r w:rsidRPr="00AB2BA4">
        <w:rPr>
          <w:rFonts w:ascii="Arial" w:hAnsi="Arial" w:cs="Arial"/>
          <w:i/>
          <w:iCs/>
          <w:sz w:val="18"/>
          <w:szCs w:val="18"/>
        </w:rPr>
        <w:t xml:space="preserve"> upper band containing the separated nanobody. </w:t>
      </w:r>
      <w:r w:rsidRPr="00AB2BA4">
        <w:rPr>
          <w:rFonts w:ascii="Arial" w:hAnsi="Arial" w:cs="Arial"/>
          <w:b/>
          <w:bCs/>
          <w:i/>
          <w:iCs/>
          <w:sz w:val="18"/>
          <w:szCs w:val="18"/>
        </w:rPr>
        <w:t>b</w:t>
      </w:r>
      <w:r w:rsidRPr="00AB2BA4">
        <w:rPr>
          <w:rFonts w:ascii="Arial" w:hAnsi="Arial" w:cs="Arial"/>
          <w:i/>
          <w:iCs/>
          <w:sz w:val="18"/>
          <w:szCs w:val="18"/>
        </w:rPr>
        <w:t xml:space="preserve">) </w:t>
      </w:r>
      <w:r w:rsidRPr="00AB2BA4">
        <w:rPr>
          <w:rFonts w:ascii="Arial" w:eastAsia="Times New Roman" w:hAnsi="Arial" w:cs="Arial"/>
          <w:i/>
          <w:iCs/>
          <w:sz w:val="18"/>
          <w:szCs w:val="18"/>
        </w:rPr>
        <w:t>In contrast to</w:t>
      </w:r>
      <w:r w:rsidRPr="00AB2BA4">
        <w:rPr>
          <w:rFonts w:ascii="Arial" w:hAnsi="Arial" w:cs="Arial"/>
          <w:i/>
          <w:iCs/>
          <w:sz w:val="18"/>
          <w:szCs w:val="18"/>
        </w:rPr>
        <w:t xml:space="preserve"> live </w:t>
      </w:r>
      <w:r w:rsidRPr="00AB2BA4">
        <w:rPr>
          <w:rFonts w:ascii="Arial" w:eastAsia="Times New Roman" w:hAnsi="Arial" w:cs="Arial"/>
          <w:i/>
          <w:iCs/>
          <w:sz w:val="18"/>
          <w:szCs w:val="18"/>
        </w:rPr>
        <w:t>labeling</w:t>
      </w:r>
      <w:r w:rsidRPr="00AB2BA4">
        <w:rPr>
          <w:rFonts w:ascii="Arial" w:hAnsi="Arial" w:cs="Arial"/>
          <w:i/>
          <w:iCs/>
          <w:sz w:val="18"/>
          <w:szCs w:val="18"/>
        </w:rPr>
        <w:t xml:space="preserve"> of primary neurons with NbLumSyt1-TEV-mOrange (surface only) and TEV-protease treatment, the </w:t>
      </w:r>
      <w:proofErr w:type="spellStart"/>
      <w:r w:rsidRPr="00AB2BA4">
        <w:rPr>
          <w:rFonts w:ascii="Arial" w:hAnsi="Arial" w:cs="Arial"/>
          <w:i/>
          <w:iCs/>
          <w:sz w:val="18"/>
          <w:szCs w:val="18"/>
        </w:rPr>
        <w:t>mOrange</w:t>
      </w:r>
      <w:proofErr w:type="spellEnd"/>
      <w:r w:rsidRPr="00AB2BA4">
        <w:rPr>
          <w:rFonts w:ascii="Arial" w:hAnsi="Arial" w:cs="Arial"/>
          <w:i/>
          <w:iCs/>
          <w:sz w:val="18"/>
          <w:szCs w:val="18"/>
        </w:rPr>
        <w:t xml:space="preserve"> signal is efficiently removed from cultured neurons, </w:t>
      </w:r>
      <w:r w:rsidRPr="00AB2BA4">
        <w:rPr>
          <w:rFonts w:ascii="Arial" w:eastAsia="Times New Roman" w:hAnsi="Arial" w:cs="Arial"/>
          <w:i/>
          <w:iCs/>
          <w:sz w:val="18"/>
          <w:szCs w:val="18"/>
        </w:rPr>
        <w:t>indicating</w:t>
      </w:r>
      <w:r w:rsidRPr="00AB2BA4">
        <w:rPr>
          <w:rFonts w:ascii="Arial" w:hAnsi="Arial" w:cs="Arial"/>
          <w:i/>
          <w:iCs/>
          <w:sz w:val="18"/>
          <w:szCs w:val="18"/>
        </w:rPr>
        <w:t xml:space="preserve"> that the fluorescent signal is derived from surface</w:t>
      </w:r>
      <w:r w:rsidRPr="00AB2BA4">
        <w:rPr>
          <w:rFonts w:ascii="Arial" w:eastAsia="Times New Roman" w:hAnsi="Arial" w:cs="Arial"/>
          <w:i/>
          <w:iCs/>
          <w:sz w:val="18"/>
          <w:szCs w:val="18"/>
        </w:rPr>
        <w:t>-</w:t>
      </w:r>
      <w:r w:rsidRPr="00AB2BA4">
        <w:rPr>
          <w:rFonts w:ascii="Arial" w:hAnsi="Arial" w:cs="Arial"/>
          <w:i/>
          <w:iCs/>
          <w:sz w:val="18"/>
          <w:szCs w:val="18"/>
        </w:rPr>
        <w:t xml:space="preserve">exposed pools since the </w:t>
      </w:r>
      <w:proofErr w:type="spellStart"/>
      <w:r w:rsidRPr="00AB2BA4">
        <w:rPr>
          <w:rFonts w:ascii="Arial" w:hAnsi="Arial" w:cs="Arial"/>
          <w:i/>
          <w:iCs/>
          <w:sz w:val="18"/>
          <w:szCs w:val="18"/>
        </w:rPr>
        <w:t>intravesicular</w:t>
      </w:r>
      <w:proofErr w:type="spellEnd"/>
      <w:r w:rsidRPr="00AB2BA4">
        <w:rPr>
          <w:rFonts w:ascii="Arial" w:hAnsi="Arial" w:cs="Arial"/>
          <w:i/>
          <w:iCs/>
          <w:sz w:val="18"/>
          <w:szCs w:val="18"/>
        </w:rPr>
        <w:t xml:space="preserve"> pools are quenched due to their low </w:t>
      </w:r>
      <w:proofErr w:type="spellStart"/>
      <w:r w:rsidRPr="00AB2BA4">
        <w:rPr>
          <w:rFonts w:ascii="Arial" w:hAnsi="Arial" w:cs="Arial"/>
          <w:i/>
          <w:iCs/>
          <w:sz w:val="18"/>
          <w:szCs w:val="18"/>
        </w:rPr>
        <w:t>pH.</w:t>
      </w:r>
      <w:proofErr w:type="spellEnd"/>
      <w:r w:rsidRPr="00AB2BA4">
        <w:rPr>
          <w:rFonts w:ascii="Arial" w:hAnsi="Arial" w:cs="Arial"/>
          <w:i/>
          <w:iCs/>
          <w:sz w:val="18"/>
          <w:szCs w:val="18"/>
        </w:rPr>
        <w:t xml:space="preserve"> </w:t>
      </w:r>
      <w:r w:rsidRPr="00AB2BA4">
        <w:rPr>
          <w:rFonts w:ascii="Arial" w:hAnsi="Arial" w:cs="Arial"/>
          <w:b/>
          <w:bCs/>
          <w:i/>
          <w:iCs/>
          <w:sz w:val="18"/>
          <w:szCs w:val="18"/>
        </w:rPr>
        <w:t>c</w:t>
      </w:r>
      <w:r w:rsidRPr="00AB2BA4">
        <w:rPr>
          <w:rFonts w:ascii="Arial" w:hAnsi="Arial" w:cs="Arial"/>
          <w:i/>
          <w:iCs/>
          <w:sz w:val="18"/>
          <w:szCs w:val="18"/>
        </w:rPr>
        <w:t xml:space="preserve">) </w:t>
      </w:r>
      <w:r w:rsidRPr="00AB2BA4">
        <w:rPr>
          <w:rFonts w:ascii="Arial" w:eastAsia="Times New Roman" w:hAnsi="Arial" w:cs="Arial"/>
          <w:i/>
          <w:iCs/>
          <w:sz w:val="18"/>
          <w:szCs w:val="18"/>
        </w:rPr>
        <w:t>An</w:t>
      </w:r>
      <w:r w:rsidRPr="00AB2BA4">
        <w:rPr>
          <w:rFonts w:ascii="Arial" w:hAnsi="Arial" w:cs="Arial"/>
          <w:i/>
          <w:iCs/>
          <w:sz w:val="18"/>
          <w:szCs w:val="18"/>
        </w:rPr>
        <w:t xml:space="preserve"> experiment </w:t>
      </w:r>
      <w:r w:rsidRPr="00AB2BA4">
        <w:rPr>
          <w:rFonts w:ascii="Arial" w:eastAsia="Times New Roman" w:hAnsi="Arial" w:cs="Arial"/>
          <w:i/>
          <w:iCs/>
          <w:sz w:val="18"/>
          <w:szCs w:val="18"/>
        </w:rPr>
        <w:t>similar to that</w:t>
      </w:r>
      <w:r w:rsidRPr="00AB2BA4">
        <w:rPr>
          <w:rFonts w:ascii="Arial" w:hAnsi="Arial" w:cs="Arial"/>
          <w:i/>
          <w:iCs/>
          <w:sz w:val="18"/>
          <w:szCs w:val="18"/>
        </w:rPr>
        <w:t xml:space="preserve"> in a) performed in isolated NbLumSyt1-TEV-mOrange reveals that the time course of cleavage resembles that of labeled neurons. </w:t>
      </w:r>
      <w:r w:rsidRPr="00AB2BA4">
        <w:rPr>
          <w:rFonts w:ascii="Arial" w:hAnsi="Arial" w:cs="Arial"/>
          <w:b/>
          <w:i/>
          <w:iCs/>
          <w:sz w:val="18"/>
          <w:szCs w:val="18"/>
        </w:rPr>
        <w:t>d-f</w:t>
      </w:r>
      <w:r w:rsidRPr="00AB2BA4">
        <w:rPr>
          <w:rFonts w:ascii="Arial" w:hAnsi="Arial" w:cs="Arial"/>
          <w:i/>
          <w:iCs/>
          <w:sz w:val="18"/>
          <w:szCs w:val="18"/>
        </w:rPr>
        <w:t xml:space="preserve">) Estimation of </w:t>
      </w:r>
      <w:r w:rsidRPr="00AB2BA4">
        <w:rPr>
          <w:rFonts w:ascii="Arial" w:eastAsia="Times New Roman" w:hAnsi="Arial" w:cs="Arial"/>
          <w:i/>
          <w:iCs/>
          <w:sz w:val="18"/>
          <w:szCs w:val="18"/>
        </w:rPr>
        <w:t xml:space="preserve">the </w:t>
      </w:r>
      <w:r w:rsidRPr="00AB2BA4">
        <w:rPr>
          <w:rFonts w:ascii="Arial" w:hAnsi="Arial" w:cs="Arial"/>
          <w:i/>
          <w:iCs/>
          <w:sz w:val="18"/>
          <w:szCs w:val="18"/>
        </w:rPr>
        <w:t>resting pH using NbLumSyt1-pHluorin (</w:t>
      </w:r>
      <w:r w:rsidRPr="00AB2BA4">
        <w:rPr>
          <w:rFonts w:ascii="Arial" w:hAnsi="Arial" w:cs="Arial"/>
          <w:b/>
          <w:i/>
          <w:iCs/>
          <w:sz w:val="18"/>
          <w:szCs w:val="18"/>
        </w:rPr>
        <w:t>d</w:t>
      </w:r>
      <w:r w:rsidRPr="00AB2BA4">
        <w:rPr>
          <w:rFonts w:ascii="Arial" w:hAnsi="Arial" w:cs="Arial"/>
          <w:i/>
          <w:iCs/>
          <w:sz w:val="18"/>
          <w:szCs w:val="18"/>
        </w:rPr>
        <w:t>) or NbLumSyt1-mOrange2 (</w:t>
      </w:r>
      <w:r w:rsidRPr="00AB2BA4">
        <w:rPr>
          <w:rFonts w:ascii="Arial" w:hAnsi="Arial" w:cs="Arial"/>
          <w:b/>
          <w:i/>
          <w:iCs/>
          <w:sz w:val="18"/>
          <w:szCs w:val="18"/>
        </w:rPr>
        <w:t>e</w:t>
      </w:r>
      <w:r w:rsidRPr="00AB2BA4">
        <w:rPr>
          <w:rFonts w:ascii="Arial" w:hAnsi="Arial" w:cs="Arial"/>
          <w:i/>
          <w:iCs/>
          <w:sz w:val="18"/>
          <w:szCs w:val="18"/>
        </w:rPr>
        <w:t>) in isolated molecules (in vitro). For the same measurement in primary neurons</w:t>
      </w:r>
      <w:r w:rsidRPr="00AB2BA4">
        <w:rPr>
          <w:rFonts w:ascii="Arial" w:eastAsia="Times New Roman" w:hAnsi="Arial" w:cs="Arial"/>
          <w:i/>
          <w:iCs/>
          <w:sz w:val="18"/>
          <w:szCs w:val="18"/>
        </w:rPr>
        <w:t>,</w:t>
      </w:r>
      <w:r w:rsidRPr="00AB2BA4">
        <w:rPr>
          <w:rFonts w:ascii="Arial" w:hAnsi="Arial" w:cs="Arial"/>
          <w:i/>
          <w:iCs/>
          <w:sz w:val="18"/>
          <w:szCs w:val="18"/>
        </w:rPr>
        <w:t xml:space="preserve"> refer to the main figure. To estimate the </w:t>
      </w:r>
      <w:proofErr w:type="spellStart"/>
      <w:r w:rsidRPr="00AB2BA4">
        <w:rPr>
          <w:rFonts w:ascii="Arial" w:hAnsi="Arial" w:cs="Arial"/>
          <w:i/>
          <w:iCs/>
          <w:sz w:val="18"/>
          <w:szCs w:val="18"/>
        </w:rPr>
        <w:t>pKa</w:t>
      </w:r>
      <w:proofErr w:type="spellEnd"/>
      <w:r w:rsidRPr="00AB2BA4">
        <w:rPr>
          <w:rFonts w:ascii="Arial" w:hAnsi="Arial" w:cs="Arial"/>
          <w:i/>
          <w:iCs/>
          <w:sz w:val="18"/>
          <w:szCs w:val="18"/>
        </w:rPr>
        <w:t xml:space="preserve"> values, calibration curves were created by titrating the pH</w:t>
      </w:r>
      <w:r w:rsidRPr="00AB2BA4">
        <w:rPr>
          <w:rFonts w:ascii="Arial" w:eastAsia="Times New Roman" w:hAnsi="Arial" w:cs="Arial"/>
          <w:i/>
          <w:iCs/>
          <w:sz w:val="18"/>
          <w:szCs w:val="18"/>
        </w:rPr>
        <w:t xml:space="preserve"> </w:t>
      </w:r>
      <w:r w:rsidRPr="00AB2BA4">
        <w:rPr>
          <w:rFonts w:ascii="Arial" w:hAnsi="Arial" w:cs="Arial"/>
          <w:i/>
          <w:iCs/>
          <w:sz w:val="18"/>
          <w:szCs w:val="18"/>
        </w:rPr>
        <w:t xml:space="preserve">response of the probes. In accordance with previous reports </w:t>
      </w:r>
      <w:sdt>
        <w:sdtPr>
          <w:rPr>
            <w:rFonts w:ascii="Arial" w:hAnsi="Arial" w:cs="Arial"/>
            <w:i/>
            <w:iCs/>
            <w:color w:val="000000"/>
            <w:sz w:val="18"/>
            <w:szCs w:val="18"/>
            <w:vertAlign w:val="superscript"/>
          </w:rPr>
          <w:tag w:val="MENDELEY_CITATION_v3_eyJjaXRhdGlvbklEIjoiTUVOREVMRVlfQ0lUQVRJT05fZDE5MGY1ZWUtZGZmYy00NzA0LWIwY2EtZTg0OGM2YTQzMDcyIiwicHJvcGVydGllcyI6eyJub3RlSW5kZXgiOjB9LCJpc0VkaXRlZCI6ZmFsc2UsIm1hbnVhbE92ZXJyaWRlIjp7ImlzTWFudWFsbHlPdmVycmlkZGVuIjpmYWxzZSwiY2l0ZXByb2NUZXh0IjoiPHN1cD4yNzwvc3VwPiIsIm1hbnVhbE92ZXJyaWRlVGV4dCI6IiJ9LCJjaXRhdGlvbkl0ZW1zIjpbeyJpZCI6ImJkY2Y3MGVmLWIyOWYtM2MxNC1hMzQwLWI3YWYzMzIzOWNmYyIsIml0ZW1EYXRhIjp7InR5cGUiOiJhcnRpY2xlLWpvdXJuYWwiLCJpZCI6ImJkY2Y3MGVmLWIyOWYtM2MxNC1hMzQwLWI3YWYzMzIzOWNmYyIsInRpdGxlIjoiTW9uaXRvcmluZyBvZiB2YWN1b2xhci10eXBlIEgrIEFUUGFzZS1tZWRpYXRlZCBwcm90b24gaW5mbHV4IGludG8gc3luYXB0aWMgdmVzaWNsZXMiLCJhdXRob3IiOlt7ImZhbWlseSI6IkVnYXNoaXJhIiwiZ2l2ZW4iOiJZb3NoaWhpcm8iLCJwYXJzZS1uYW1lcyI6ZmFsc2UsImRyb3BwaW5nLXBhcnRpY2xlIjoiIiwibm9uLWRyb3BwaW5nLXBhcnRpY2xlIjoiIn0seyJmYW1pbHkiOiJUYWthc2UiLCJnaXZlbiI6Ik1pa2kiLCJwYXJzZS1uYW1lcyI6ZmFsc2UsImRyb3BwaW5nLXBhcnRpY2xlIjoiIiwibm9uLWRyb3BwaW5nLXBhcnRpY2xlIjoiIn0seyJmYW1pbHkiOiJUYWthbW9yaSIsImdpdmVuIjoiU2hpZ2VvIiwicGFyc2UtbmFtZXMiOmZhbHNlLCJkcm9wcGluZy1wYXJ0aWNsZSI6IiIsIm5vbi1kcm9wcGluZy1wYXJ0aWNsZSI6IiJ9XSwiY29udGFpbmVyLXRpdGxlIjoiSm91cm5hbCBvZiBOZXVyb3NjaWVuY2UiLCJET0kiOiIxMC4xNTIzL0pORVVST1NDSS40MTYwLTE0LjIwMTUiLCJJU1NOIjoiMTUyOTI0MDEiLCJQTUlEIjoiMjU3MTY4NjciLCJpc3N1ZWQiOnsiZGF0ZS1wYXJ0cyI6W1syMDE1XV19LCJwYWdlIjoiMzcwMS0zNzEwIiwiYWJzdHJhY3QiOiJEdXJpbmcgc3luYXB0aWMgdmVzaWNsZSAoU1YpIHJlY3ljbGluZywgdGhlIHZhY3VvbGFyLXR5cGUgSDxzdXA+Kzwvc3VwPiBBVFBhc2UgY3JlYXRlcyBhIHByb3RvbiBlbGVjdHJvY2hlbWljYWwgZ3JhZGllbnQgKM6UzrxIPHN1cD4rPC9zdXA+KSB0aGF0IGRyaXZlcyBuZXVyb3RyYW5zbWl0dGVyIGxvYWRpbmcgaW50byBTVnMuIEdpdmVuIHRoZSBsb3cgZXN0aW1hdGVzIG9mIGZyZWUgbHVtaW5hbCBwcm90b25zLCBpdCBoYXMgYmVlbiBlbnZpc2lvbmVkIHRoYXQgdGhlIGluZmx1eCBvZiBhIGxpbWl0ZWQgbnVtYmVyIG9mIHByb3RvbnMgc3VmZmljZXMgdG8gZXN0YWJsaXNoIM6UzrxIPHN1cD4rPC9zdXA+LiBDb25zaXN0ZW50IHdpdGggdGhpcywgdGhlIHRpbWUgY29uc3RhbnQgb2YgU1YgcmUtYWNpZGlmaWNhdGlvbiB3YXMgcmVwb3J0ZWQgdG8gYmUgPDUgcywgbXVjaCBmYXN0ZXIgdGhhbiBnbHV0YW1hdGUgbG9hZGluZyAoz4Qgb2YgzLQxNSBzKSBhbmQgdGh1cyB1bmxpa2VseSB0byBiZSByYXRlIGxpbWl0aW5nIGZvciBuZXVyb3RyYW5zbWl0dGVyIGxvYWRpbmcuIEhvd2V2ZXIsIHN1Y2ggZXN0aW1hdGVzIGhhdmUgcmVsaWVkIG9uIHBIbHVvcmluLWJhc2VkIHByb2JlcyB0aGF0IGxhY2sgc2Vuc2l0aXZpdHkgaW4gdGhlIGxvd2VyIGx1bWluYWwgcEggcmFuZ2UuIEhlcmUsIHdlIHJlZXhhbWluZWQgcmUtYWNpZGlmaWNhdGlvbiBraW5ldGljcyB1c2luZyB0aGUgbU9yYW5nZTItYmFzZWQgcHJvYmUgdGhhdCBzaG91bGQgcmVwb3J0IHRoZVNWcEhtb3JlIGFjY3VyYXRlbHkuIEluIHJlY29yZGluZ3MgZnJvbSBjdWx0dXJlZCBtb3VzZSBoaXBwb2NhbXBhbCBuZXVyb25zLCB3ZSBmb3VuZCB0aGF0IHJlLWFjaWRpZmljYXRpb24gdG9vayBzdWJzdGFudGlhbGx5IGxvbmdlcijPhCBvZiDMtDE1IHMpIHRoYW4gZXN0aW1hdGVkIHByZXZpb3VzbHkuIEluIGFkZGl0aW9uLCB3ZSBmb3VuZCB0aGF0IHRoZVNWIGx1bWVuIGV4aGliaXRlZCBhIGxhcmdlIGJ1ZmZlcmluZyBjYXBhY2l0eSAozLTMtCA1N21NL3BIKSwgY29ycmVzcG9uZGluZyB0byBhbiBhY2N1bXVsYXRpb24gb2YxMjAwIHByb3RvbnMgZHVyaW5nIHJlLWFjaWRpZmljYXRpb24uIFRvZ2V0aGVyLCBvdXIgcmVzdWx0cyB1bmNvdmVyIGhpdGhlcnRvIHVucmVjb2duaXplZCByb2J1c3QgcHJvdG9uIGluZmx1eCBhbmQgc3RvcmFnZSBpbiBTVnMgdGhhdCBjYW4gcmVzdHJpY3QgdGhlIHJhdGUgb2YgbmV1cm90cmFuc21pdHRlciByZWZpbGxpbmcuIiwicHVibGlzaGVyIjoiU29jaWV0eSBmb3IgTmV1cm9zY2llbmNlIiwiaXNzdWUiOiI4Iiwidm9sdW1lIjoiMzUiLCJjb250YWluZXItdGl0bGUtc2hvcnQiOiIifSwiaXNUZW1wb3JhcnkiOmZhbHNlLCJzdXBwcmVzcy1hdXRob3IiOmZhbHNlLCJjb21wb3NpdGUiOmZhbHNlLCJhdXRob3Itb25seSI6ZmFsc2V9XX0="/>
          <w:id w:val="-1990239659"/>
        </w:sdtPr>
        <w:sdtContent>
          <w:r w:rsidRPr="00AB5A85">
            <w:rPr>
              <w:rFonts w:ascii="Arial" w:hAnsi="Arial" w:cs="Arial"/>
              <w:i/>
              <w:iCs/>
              <w:color w:val="000000"/>
              <w:sz w:val="18"/>
              <w:szCs w:val="18"/>
              <w:vertAlign w:val="superscript"/>
            </w:rPr>
            <w:t>27</w:t>
          </w:r>
        </w:sdtContent>
      </w:sdt>
      <w:r w:rsidRPr="00AB2BA4">
        <w:rPr>
          <w:rFonts w:ascii="Arial" w:hAnsi="Arial" w:cs="Arial"/>
          <w:i/>
          <w:iCs/>
          <w:sz w:val="18"/>
          <w:szCs w:val="18"/>
        </w:rPr>
        <w:t xml:space="preserve">, the </w:t>
      </w:r>
      <w:proofErr w:type="spellStart"/>
      <w:r w:rsidRPr="00AB2BA4">
        <w:rPr>
          <w:rFonts w:ascii="Arial" w:hAnsi="Arial" w:cs="Arial"/>
          <w:i/>
          <w:iCs/>
          <w:sz w:val="18"/>
          <w:szCs w:val="18"/>
        </w:rPr>
        <w:t>pKa</w:t>
      </w:r>
      <w:proofErr w:type="spellEnd"/>
      <w:r w:rsidRPr="00AB2BA4">
        <w:rPr>
          <w:rFonts w:ascii="Arial" w:hAnsi="Arial" w:cs="Arial"/>
          <w:i/>
          <w:iCs/>
          <w:sz w:val="18"/>
          <w:szCs w:val="18"/>
        </w:rPr>
        <w:t xml:space="preserve"> of </w:t>
      </w:r>
      <w:proofErr w:type="spellStart"/>
      <w:r w:rsidRPr="00AB2BA4">
        <w:rPr>
          <w:rFonts w:ascii="Arial" w:hAnsi="Arial" w:cs="Arial"/>
          <w:i/>
          <w:iCs/>
          <w:sz w:val="18"/>
          <w:szCs w:val="18"/>
        </w:rPr>
        <w:t>mOrange</w:t>
      </w:r>
      <w:proofErr w:type="spellEnd"/>
      <w:r w:rsidRPr="00AB2BA4">
        <w:rPr>
          <w:rFonts w:ascii="Arial" w:hAnsi="Arial" w:cs="Arial"/>
          <w:i/>
          <w:iCs/>
          <w:sz w:val="18"/>
          <w:szCs w:val="18"/>
        </w:rPr>
        <w:t xml:space="preserve"> is lower than that of </w:t>
      </w:r>
      <w:proofErr w:type="spellStart"/>
      <w:r w:rsidRPr="00AB2BA4">
        <w:rPr>
          <w:rFonts w:ascii="Arial" w:hAnsi="Arial" w:cs="Arial"/>
          <w:i/>
          <w:iCs/>
          <w:sz w:val="18"/>
          <w:szCs w:val="18"/>
        </w:rPr>
        <w:t>pHluorin</w:t>
      </w:r>
      <w:proofErr w:type="spellEnd"/>
      <w:r w:rsidRPr="00AB2BA4">
        <w:rPr>
          <w:rFonts w:ascii="Arial" w:hAnsi="Arial" w:cs="Arial"/>
          <w:i/>
          <w:iCs/>
          <w:sz w:val="18"/>
          <w:szCs w:val="18"/>
        </w:rPr>
        <w:t xml:space="preserve">, extending the </w:t>
      </w:r>
      <w:r w:rsidRPr="00AB2BA4">
        <w:rPr>
          <w:rFonts w:ascii="Arial" w:eastAsia="Times New Roman" w:hAnsi="Arial" w:cs="Arial"/>
          <w:i/>
          <w:iCs/>
          <w:sz w:val="18"/>
          <w:szCs w:val="18"/>
        </w:rPr>
        <w:t>measurement</w:t>
      </w:r>
      <w:r w:rsidRPr="00AB2BA4">
        <w:rPr>
          <w:rFonts w:ascii="Arial" w:hAnsi="Arial" w:cs="Arial"/>
          <w:i/>
          <w:iCs/>
          <w:sz w:val="18"/>
          <w:szCs w:val="18"/>
        </w:rPr>
        <w:t xml:space="preserve"> range toward lower pH</w:t>
      </w:r>
      <w:r w:rsidRPr="00AB2BA4">
        <w:rPr>
          <w:rFonts w:ascii="Arial" w:eastAsia="Times New Roman" w:hAnsi="Arial" w:cs="Arial"/>
          <w:i/>
          <w:iCs/>
          <w:sz w:val="18"/>
          <w:szCs w:val="18"/>
        </w:rPr>
        <w:t xml:space="preserve"> </w:t>
      </w:r>
      <w:r w:rsidRPr="00AB2BA4">
        <w:rPr>
          <w:rFonts w:ascii="Arial" w:hAnsi="Arial" w:cs="Arial"/>
          <w:i/>
          <w:iCs/>
          <w:sz w:val="18"/>
          <w:szCs w:val="18"/>
        </w:rPr>
        <w:t>values.</w:t>
      </w:r>
    </w:p>
    <w:p w14:paraId="50DFDFDC" w14:textId="77777777" w:rsidR="000546C6" w:rsidRPr="00AB2BA4" w:rsidRDefault="000546C6" w:rsidP="000546C6">
      <w:pPr>
        <w:ind w:left="720" w:hanging="720"/>
        <w:contextualSpacing/>
        <w:jc w:val="center"/>
        <w:rPr>
          <w:rFonts w:ascii="Arial" w:hAnsi="Arial" w:cs="Arial"/>
          <w:b/>
          <w:bCs/>
          <w:i/>
          <w:iCs/>
          <w:sz w:val="18"/>
          <w:szCs w:val="18"/>
        </w:rPr>
      </w:pPr>
      <w:r w:rsidRPr="00AB2BA4">
        <w:rPr>
          <w:rFonts w:ascii="Arial" w:hAnsi="Arial" w:cs="Arial"/>
          <w:b/>
          <w:bCs/>
          <w:i/>
          <w:iCs/>
          <w:noProof/>
          <w:sz w:val="18"/>
          <w:szCs w:val="18"/>
        </w:rPr>
        <w:lastRenderedPageBreak/>
        <w:drawing>
          <wp:inline distT="0" distB="0" distL="0" distR="0" wp14:anchorId="39A11E0F" wp14:editId="7AC0B2C5">
            <wp:extent cx="5709920" cy="8508900"/>
            <wp:effectExtent l="0" t="0" r="5080" b="635"/>
            <wp:docPr id="3" name="Picture 3" descr="A collage of images of a cell  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 descr="A collage of images of a cell  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129" t="6876" r="6222" b="601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186" cy="85405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79BE579" w14:textId="77777777" w:rsidR="000546C6" w:rsidRPr="00AB2BA4" w:rsidRDefault="000546C6" w:rsidP="000546C6">
      <w:pPr>
        <w:contextualSpacing/>
        <w:jc w:val="both"/>
        <w:rPr>
          <w:rFonts w:ascii="Arial" w:hAnsi="Arial" w:cs="Arial"/>
          <w:i/>
          <w:iCs/>
          <w:sz w:val="18"/>
          <w:szCs w:val="18"/>
        </w:rPr>
      </w:pPr>
      <w:r w:rsidRPr="00AB2BA4">
        <w:rPr>
          <w:rFonts w:ascii="Arial" w:hAnsi="Arial" w:cs="Arial"/>
          <w:b/>
          <w:i/>
          <w:iCs/>
          <w:sz w:val="18"/>
          <w:szCs w:val="18"/>
        </w:rPr>
        <w:t xml:space="preserve">Supplementary Fig. </w:t>
      </w:r>
      <w:r>
        <w:rPr>
          <w:rFonts w:ascii="Arial" w:hAnsi="Arial" w:cs="Arial"/>
          <w:b/>
          <w:i/>
          <w:iCs/>
          <w:sz w:val="18"/>
          <w:szCs w:val="18"/>
        </w:rPr>
        <w:t>4</w:t>
      </w:r>
      <w:r w:rsidRPr="00AB2BA4">
        <w:rPr>
          <w:rFonts w:ascii="Arial" w:hAnsi="Arial" w:cs="Arial"/>
          <w:b/>
          <w:i/>
          <w:iCs/>
          <w:sz w:val="18"/>
          <w:szCs w:val="18"/>
        </w:rPr>
        <w:t xml:space="preserve">: </w:t>
      </w:r>
      <w:proofErr w:type="spellStart"/>
      <w:r w:rsidRPr="00AB2BA4">
        <w:rPr>
          <w:rFonts w:ascii="Arial" w:hAnsi="Arial" w:cs="Arial"/>
          <w:b/>
          <w:i/>
          <w:iCs/>
          <w:sz w:val="18"/>
          <w:szCs w:val="18"/>
        </w:rPr>
        <w:t>MoNaLISA</w:t>
      </w:r>
      <w:proofErr w:type="spellEnd"/>
      <w:r w:rsidRPr="00AB2BA4">
        <w:rPr>
          <w:rFonts w:ascii="Arial" w:hAnsi="Arial" w:cs="Arial"/>
          <w:b/>
          <w:i/>
          <w:iCs/>
          <w:sz w:val="18"/>
          <w:szCs w:val="18"/>
        </w:rPr>
        <w:t xml:space="preserve"> diffraction unlimited imaging of NbLumSyt1-rsEGFP(N205S). a</w:t>
      </w:r>
      <w:r w:rsidRPr="00AB2BA4">
        <w:rPr>
          <w:rFonts w:ascii="Arial" w:hAnsi="Arial" w:cs="Arial"/>
          <w:bCs/>
          <w:i/>
          <w:iCs/>
          <w:sz w:val="18"/>
          <w:szCs w:val="18"/>
        </w:rPr>
        <w:t>)</w:t>
      </w:r>
      <w:r w:rsidRPr="00AB2BA4">
        <w:rPr>
          <w:rFonts w:ascii="Arial" w:hAnsi="Arial" w:cs="Arial"/>
          <w:b/>
          <w:i/>
          <w:iCs/>
          <w:sz w:val="18"/>
          <w:szCs w:val="18"/>
        </w:rPr>
        <w:t xml:space="preserve"> </w:t>
      </w:r>
      <w:r w:rsidRPr="00AB2BA4">
        <w:rPr>
          <w:rFonts w:ascii="Arial" w:hAnsi="Arial" w:cs="Arial"/>
          <w:i/>
          <w:iCs/>
          <w:sz w:val="18"/>
          <w:szCs w:val="18"/>
        </w:rPr>
        <w:t xml:space="preserve">Schematic illustration of the </w:t>
      </w:r>
      <w:proofErr w:type="spellStart"/>
      <w:r w:rsidRPr="00AB2BA4">
        <w:rPr>
          <w:rFonts w:ascii="Arial" w:hAnsi="Arial" w:cs="Arial"/>
          <w:i/>
          <w:iCs/>
          <w:sz w:val="18"/>
          <w:szCs w:val="18"/>
        </w:rPr>
        <w:t>MoNaLISA</w:t>
      </w:r>
      <w:proofErr w:type="spellEnd"/>
      <w:r w:rsidRPr="00AB2BA4">
        <w:rPr>
          <w:rFonts w:ascii="Arial" w:hAnsi="Arial" w:cs="Arial"/>
          <w:i/>
          <w:iCs/>
          <w:sz w:val="18"/>
          <w:szCs w:val="18"/>
        </w:rPr>
        <w:t xml:space="preserve"> imaging scheme. The illumination is parallelized over an extended field of</w:t>
      </w:r>
    </w:p>
    <w:p w14:paraId="72BF11AB" w14:textId="77777777" w:rsidR="000546C6" w:rsidRPr="00AB2BA4" w:rsidRDefault="000546C6" w:rsidP="000546C6">
      <w:pPr>
        <w:contextualSpacing/>
        <w:jc w:val="both"/>
        <w:rPr>
          <w:rFonts w:ascii="Arial" w:hAnsi="Arial" w:cs="Arial"/>
          <w:i/>
          <w:iCs/>
          <w:color w:val="808080" w:themeColor="background1" w:themeShade="80"/>
          <w:sz w:val="18"/>
          <w:szCs w:val="18"/>
        </w:rPr>
      </w:pPr>
      <w:r w:rsidRPr="00AB2BA4">
        <w:rPr>
          <w:rFonts w:ascii="Arial" w:hAnsi="Arial" w:cs="Arial"/>
          <w:i/>
          <w:iCs/>
          <w:color w:val="808080" w:themeColor="background1" w:themeShade="80"/>
          <w:sz w:val="18"/>
          <w:szCs w:val="18"/>
        </w:rPr>
        <w:lastRenderedPageBreak/>
        <w:t xml:space="preserve">(continuing from </w:t>
      </w:r>
      <w:r w:rsidRPr="00AB2BA4">
        <w:rPr>
          <w:rFonts w:ascii="Arial" w:eastAsia="Times New Roman" w:hAnsi="Arial" w:cs="Arial"/>
          <w:i/>
          <w:iCs/>
          <w:color w:val="808080"/>
          <w:sz w:val="18"/>
          <w:szCs w:val="18"/>
        </w:rPr>
        <w:t xml:space="preserve">the </w:t>
      </w:r>
      <w:r w:rsidRPr="00AB2BA4">
        <w:rPr>
          <w:rFonts w:ascii="Arial" w:hAnsi="Arial" w:cs="Arial"/>
          <w:i/>
          <w:iCs/>
          <w:color w:val="808080" w:themeColor="background1" w:themeShade="80"/>
          <w:sz w:val="18"/>
          <w:szCs w:val="18"/>
        </w:rPr>
        <w:t>previous page)</w:t>
      </w:r>
    </w:p>
    <w:p w14:paraId="2715CE99" w14:textId="77777777" w:rsidR="000546C6" w:rsidRDefault="000546C6" w:rsidP="000546C6">
      <w:pPr>
        <w:contextualSpacing/>
        <w:jc w:val="both"/>
        <w:rPr>
          <w:rFonts w:ascii="Arial" w:hAnsi="Arial" w:cs="Arial"/>
          <w:i/>
          <w:iCs/>
          <w:sz w:val="18"/>
          <w:szCs w:val="18"/>
        </w:rPr>
      </w:pPr>
      <w:r w:rsidRPr="00AB2BA4">
        <w:rPr>
          <w:rFonts w:ascii="Arial" w:hAnsi="Arial" w:cs="Arial"/>
          <w:i/>
          <w:iCs/>
          <w:sz w:val="18"/>
          <w:szCs w:val="18"/>
        </w:rPr>
        <w:t xml:space="preserve">view using </w:t>
      </w:r>
      <w:r w:rsidRPr="00AB2BA4">
        <w:rPr>
          <w:rFonts w:ascii="Arial" w:eastAsia="Times New Roman" w:hAnsi="Arial" w:cs="Arial"/>
          <w:i/>
          <w:iCs/>
          <w:sz w:val="18"/>
          <w:szCs w:val="18"/>
        </w:rPr>
        <w:t xml:space="preserve">multiple </w:t>
      </w:r>
      <w:r w:rsidRPr="00AB2BA4">
        <w:rPr>
          <w:rFonts w:ascii="Arial" w:hAnsi="Arial" w:cs="Arial"/>
          <w:i/>
          <w:iCs/>
          <w:sz w:val="18"/>
          <w:szCs w:val="18"/>
        </w:rPr>
        <w:t>foci to switch in the ON</w:t>
      </w:r>
      <w:r w:rsidRPr="00AB2BA4">
        <w:rPr>
          <w:rFonts w:ascii="Arial" w:eastAsia="Times New Roman" w:hAnsi="Arial" w:cs="Arial"/>
          <w:i/>
          <w:iCs/>
          <w:sz w:val="18"/>
          <w:szCs w:val="18"/>
        </w:rPr>
        <w:t xml:space="preserve"> </w:t>
      </w:r>
      <w:r w:rsidRPr="00AB2BA4">
        <w:rPr>
          <w:rFonts w:ascii="Arial" w:hAnsi="Arial" w:cs="Arial"/>
          <w:i/>
          <w:iCs/>
          <w:sz w:val="18"/>
          <w:szCs w:val="18"/>
        </w:rPr>
        <w:t>state</w:t>
      </w:r>
      <w:r w:rsidRPr="00AB2BA4">
        <w:rPr>
          <w:rFonts w:ascii="Arial" w:eastAsia="Times New Roman" w:hAnsi="Arial" w:cs="Arial"/>
          <w:i/>
          <w:iCs/>
          <w:sz w:val="18"/>
          <w:szCs w:val="18"/>
        </w:rPr>
        <w:t>,</w:t>
      </w:r>
      <w:r w:rsidRPr="00AB2BA4">
        <w:rPr>
          <w:rFonts w:ascii="Arial" w:hAnsi="Arial" w:cs="Arial"/>
          <w:i/>
          <w:iCs/>
          <w:sz w:val="18"/>
          <w:szCs w:val="18"/>
        </w:rPr>
        <w:t xml:space="preserve"> the </w:t>
      </w:r>
      <w:proofErr w:type="spellStart"/>
      <w:r w:rsidRPr="00AB2BA4">
        <w:rPr>
          <w:rFonts w:ascii="Arial" w:hAnsi="Arial" w:cs="Arial"/>
          <w:i/>
          <w:iCs/>
          <w:sz w:val="18"/>
          <w:szCs w:val="18"/>
        </w:rPr>
        <w:t>rsFPs</w:t>
      </w:r>
      <w:proofErr w:type="spellEnd"/>
      <w:r w:rsidRPr="00AB2BA4">
        <w:rPr>
          <w:rFonts w:ascii="Arial" w:hAnsi="Arial" w:cs="Arial"/>
          <w:i/>
          <w:iCs/>
          <w:sz w:val="18"/>
          <w:szCs w:val="18"/>
        </w:rPr>
        <w:t xml:space="preserve"> (reversibly switchable </w:t>
      </w:r>
      <w:r w:rsidRPr="00AB2BA4">
        <w:rPr>
          <w:rFonts w:ascii="Arial" w:eastAsia="Times New Roman" w:hAnsi="Arial" w:cs="Arial"/>
          <w:i/>
          <w:iCs/>
          <w:sz w:val="18"/>
          <w:szCs w:val="18"/>
        </w:rPr>
        <w:t>fluorescent proteins) are</w:t>
      </w:r>
      <w:r w:rsidRPr="00AB2BA4">
        <w:rPr>
          <w:rFonts w:ascii="Arial" w:hAnsi="Arial" w:cs="Arial"/>
          <w:i/>
          <w:iCs/>
          <w:sz w:val="18"/>
          <w:szCs w:val="18"/>
        </w:rPr>
        <w:t xml:space="preserve"> located in an array of focal spots and sinusoidal light </w:t>
      </w:r>
      <w:r w:rsidRPr="00AB2BA4">
        <w:rPr>
          <w:rFonts w:ascii="Arial" w:eastAsia="Times New Roman" w:hAnsi="Arial" w:cs="Arial"/>
          <w:i/>
          <w:iCs/>
          <w:sz w:val="18"/>
          <w:szCs w:val="18"/>
        </w:rPr>
        <w:t>patterns</w:t>
      </w:r>
      <w:r w:rsidRPr="00AB2BA4">
        <w:rPr>
          <w:rFonts w:ascii="Arial" w:hAnsi="Arial" w:cs="Arial"/>
          <w:i/>
          <w:iCs/>
          <w:sz w:val="18"/>
          <w:szCs w:val="18"/>
        </w:rPr>
        <w:t xml:space="preserve"> to switch the </w:t>
      </w:r>
      <w:proofErr w:type="spellStart"/>
      <w:r w:rsidRPr="00AB2BA4">
        <w:rPr>
          <w:rFonts w:ascii="Arial" w:hAnsi="Arial" w:cs="Arial"/>
          <w:i/>
          <w:iCs/>
          <w:sz w:val="18"/>
          <w:szCs w:val="18"/>
        </w:rPr>
        <w:t>rsFPs</w:t>
      </w:r>
      <w:proofErr w:type="spellEnd"/>
      <w:r w:rsidRPr="00AB2BA4">
        <w:rPr>
          <w:rFonts w:ascii="Arial" w:hAnsi="Arial" w:cs="Arial"/>
          <w:i/>
          <w:iCs/>
          <w:sz w:val="18"/>
          <w:szCs w:val="18"/>
        </w:rPr>
        <w:t xml:space="preserve"> located in the periphery of each of the foci in the OFF state. The fine regions containing the remaining </w:t>
      </w:r>
      <w:proofErr w:type="spellStart"/>
      <w:r w:rsidRPr="00AB2BA4">
        <w:rPr>
          <w:rFonts w:ascii="Arial" w:hAnsi="Arial" w:cs="Arial"/>
          <w:i/>
          <w:iCs/>
          <w:sz w:val="18"/>
          <w:szCs w:val="18"/>
        </w:rPr>
        <w:t>rsFPs</w:t>
      </w:r>
      <w:proofErr w:type="spellEnd"/>
      <w:r w:rsidRPr="00AB2BA4">
        <w:rPr>
          <w:rFonts w:ascii="Arial" w:hAnsi="Arial" w:cs="Arial"/>
          <w:i/>
          <w:iCs/>
          <w:sz w:val="18"/>
          <w:szCs w:val="18"/>
        </w:rPr>
        <w:t xml:space="preserve"> in the ON state are then read</w:t>
      </w:r>
      <w:r w:rsidRPr="00AB2BA4">
        <w:rPr>
          <w:rFonts w:ascii="Arial" w:eastAsia="Times New Roman" w:hAnsi="Arial" w:cs="Arial"/>
          <w:i/>
          <w:iCs/>
          <w:sz w:val="18"/>
          <w:szCs w:val="18"/>
        </w:rPr>
        <w:t xml:space="preserve"> </w:t>
      </w:r>
      <w:r w:rsidRPr="00AB2BA4">
        <w:rPr>
          <w:rFonts w:ascii="Arial" w:hAnsi="Arial" w:cs="Arial"/>
          <w:i/>
          <w:iCs/>
          <w:sz w:val="18"/>
          <w:szCs w:val="18"/>
        </w:rPr>
        <w:t xml:space="preserve">out with an additional array of blue foci. </w:t>
      </w:r>
      <w:r w:rsidRPr="00AB2BA4">
        <w:rPr>
          <w:rFonts w:ascii="Arial" w:hAnsi="Arial" w:cs="Arial"/>
          <w:b/>
          <w:i/>
          <w:iCs/>
          <w:sz w:val="18"/>
          <w:szCs w:val="18"/>
        </w:rPr>
        <w:t>b, c</w:t>
      </w:r>
      <w:r w:rsidRPr="00AB2BA4">
        <w:rPr>
          <w:rFonts w:ascii="Arial" w:hAnsi="Arial" w:cs="Arial"/>
          <w:i/>
          <w:iCs/>
          <w:sz w:val="18"/>
          <w:szCs w:val="18"/>
        </w:rPr>
        <w:t xml:space="preserve">) Comparison between a wide-field image and a </w:t>
      </w:r>
      <w:proofErr w:type="spellStart"/>
      <w:r w:rsidRPr="00AB2BA4">
        <w:rPr>
          <w:rFonts w:ascii="Arial" w:hAnsi="Arial" w:cs="Arial"/>
          <w:i/>
          <w:iCs/>
          <w:sz w:val="18"/>
          <w:szCs w:val="18"/>
        </w:rPr>
        <w:t>MoNaLISA</w:t>
      </w:r>
      <w:proofErr w:type="spellEnd"/>
      <w:r w:rsidRPr="00AB2BA4">
        <w:rPr>
          <w:rFonts w:ascii="Arial" w:hAnsi="Arial" w:cs="Arial"/>
          <w:i/>
          <w:iCs/>
          <w:sz w:val="18"/>
          <w:szCs w:val="18"/>
        </w:rPr>
        <w:t xml:space="preserve"> image </w:t>
      </w:r>
      <w:r w:rsidRPr="00AB2BA4">
        <w:rPr>
          <w:rFonts w:ascii="Arial" w:eastAsia="Times New Roman" w:hAnsi="Arial" w:cs="Arial"/>
          <w:i/>
          <w:iCs/>
          <w:sz w:val="18"/>
          <w:szCs w:val="18"/>
        </w:rPr>
        <w:t>of</w:t>
      </w:r>
      <w:r w:rsidRPr="00AB2BA4">
        <w:rPr>
          <w:rFonts w:ascii="Arial" w:hAnsi="Arial" w:cs="Arial"/>
          <w:i/>
          <w:iCs/>
          <w:sz w:val="18"/>
          <w:szCs w:val="18"/>
        </w:rPr>
        <w:t xml:space="preserve"> live hippocampal </w:t>
      </w:r>
      <w:r w:rsidRPr="00AB2BA4">
        <w:rPr>
          <w:rFonts w:ascii="Arial" w:eastAsia="Times New Roman" w:hAnsi="Arial" w:cs="Arial"/>
          <w:i/>
          <w:iCs/>
          <w:sz w:val="18"/>
          <w:szCs w:val="18"/>
        </w:rPr>
        <w:t>neurons labeled</w:t>
      </w:r>
      <w:r w:rsidRPr="00AB2BA4">
        <w:rPr>
          <w:rFonts w:ascii="Arial" w:hAnsi="Arial" w:cs="Arial"/>
          <w:i/>
          <w:iCs/>
          <w:sz w:val="18"/>
          <w:szCs w:val="18"/>
        </w:rPr>
        <w:t xml:space="preserve"> with NbLumSyt1-rsEGFP</w:t>
      </w:r>
      <w:r w:rsidRPr="00AB2BA4">
        <w:rPr>
          <w:rFonts w:ascii="Arial" w:eastAsia="Times New Roman" w:hAnsi="Arial" w:cs="Arial"/>
          <w:i/>
          <w:iCs/>
          <w:sz w:val="18"/>
          <w:szCs w:val="18"/>
        </w:rPr>
        <w:t xml:space="preserve"> </w:t>
      </w:r>
      <w:r w:rsidRPr="00AB2BA4">
        <w:rPr>
          <w:rFonts w:ascii="Arial" w:hAnsi="Arial" w:cs="Arial"/>
          <w:i/>
          <w:iCs/>
          <w:sz w:val="18"/>
          <w:szCs w:val="18"/>
        </w:rPr>
        <w:t xml:space="preserve">(N205S). The ROIs in c show different </w:t>
      </w:r>
      <w:r w:rsidRPr="00AB2BA4">
        <w:rPr>
          <w:rFonts w:ascii="Arial" w:eastAsia="Times New Roman" w:hAnsi="Arial" w:cs="Arial"/>
          <w:i/>
          <w:iCs/>
          <w:sz w:val="18"/>
          <w:szCs w:val="18"/>
        </w:rPr>
        <w:t>magnifications</w:t>
      </w:r>
      <w:r w:rsidRPr="00AB2BA4">
        <w:rPr>
          <w:rFonts w:ascii="Arial" w:hAnsi="Arial" w:cs="Arial"/>
          <w:i/>
          <w:iCs/>
          <w:sz w:val="18"/>
          <w:szCs w:val="18"/>
        </w:rPr>
        <w:t xml:space="preserve"> around different regions of the field of view, reporting the resolution achieved in the visualization of the cluster through </w:t>
      </w:r>
      <w:r w:rsidRPr="00AB2BA4">
        <w:rPr>
          <w:rFonts w:ascii="Arial" w:eastAsia="Times New Roman" w:hAnsi="Arial" w:cs="Arial"/>
          <w:i/>
          <w:iCs/>
          <w:sz w:val="18"/>
          <w:szCs w:val="18"/>
        </w:rPr>
        <w:t>line profiles</w:t>
      </w:r>
      <w:r w:rsidRPr="00AB2BA4">
        <w:rPr>
          <w:rFonts w:ascii="Arial" w:hAnsi="Arial" w:cs="Arial"/>
          <w:i/>
          <w:iCs/>
          <w:sz w:val="18"/>
          <w:szCs w:val="18"/>
        </w:rPr>
        <w:t xml:space="preserve"> traced across the white arrows. Clusters of sizes down to 65 nm in width can be isolated with separation down to 130 nm. </w:t>
      </w:r>
      <w:r w:rsidRPr="00AB2BA4">
        <w:rPr>
          <w:rFonts w:ascii="Arial" w:hAnsi="Arial" w:cs="Arial"/>
          <w:b/>
          <w:bCs/>
          <w:i/>
          <w:iCs/>
          <w:sz w:val="18"/>
          <w:szCs w:val="18"/>
        </w:rPr>
        <w:t>d, e</w:t>
      </w:r>
      <w:r w:rsidRPr="00AB2BA4">
        <w:rPr>
          <w:rFonts w:ascii="Arial" w:hAnsi="Arial" w:cs="Arial"/>
          <w:i/>
          <w:iCs/>
          <w:sz w:val="18"/>
          <w:szCs w:val="18"/>
        </w:rPr>
        <w:t>) Time</w:t>
      </w:r>
      <w:r w:rsidRPr="00AB2BA4">
        <w:rPr>
          <w:rFonts w:ascii="Arial" w:eastAsia="Times New Roman" w:hAnsi="Arial" w:cs="Arial"/>
          <w:i/>
          <w:iCs/>
          <w:sz w:val="18"/>
          <w:szCs w:val="18"/>
        </w:rPr>
        <w:t>-</w:t>
      </w:r>
      <w:r w:rsidRPr="00AB2BA4">
        <w:rPr>
          <w:rFonts w:ascii="Arial" w:hAnsi="Arial" w:cs="Arial"/>
          <w:i/>
          <w:iCs/>
          <w:sz w:val="18"/>
          <w:szCs w:val="18"/>
        </w:rPr>
        <w:t xml:space="preserve">lapse imaging of NbLumSyt1-rsEGFP(N205S) at intervals of 1 min between images. </w:t>
      </w:r>
      <w:r w:rsidRPr="00AB2BA4">
        <w:rPr>
          <w:rFonts w:ascii="Arial" w:hAnsi="Arial" w:cs="Arial"/>
          <w:b/>
          <w:bCs/>
          <w:i/>
          <w:iCs/>
          <w:sz w:val="18"/>
          <w:szCs w:val="18"/>
        </w:rPr>
        <w:t>f</w:t>
      </w:r>
      <w:r w:rsidRPr="00AB2BA4">
        <w:rPr>
          <w:rFonts w:ascii="Arial" w:hAnsi="Arial" w:cs="Arial"/>
          <w:i/>
          <w:iCs/>
          <w:sz w:val="18"/>
          <w:szCs w:val="18"/>
        </w:rPr>
        <w:t xml:space="preserve">) Syt1 clusters can increase (#4) or decrease (#1) in area, number and overall shape of the active zone within minutes. The graphs follow area, ellipticity and intensity for 4 clusters out of the 73 identified clusters in the same field of view. </w:t>
      </w:r>
      <w:r w:rsidRPr="00AB2BA4">
        <w:rPr>
          <w:rFonts w:ascii="Arial" w:hAnsi="Arial" w:cs="Arial"/>
          <w:b/>
          <w:i/>
          <w:iCs/>
          <w:sz w:val="18"/>
          <w:szCs w:val="18"/>
        </w:rPr>
        <w:t>g-</w:t>
      </w:r>
      <w:proofErr w:type="spellStart"/>
      <w:r w:rsidRPr="00AB2BA4">
        <w:rPr>
          <w:rFonts w:ascii="Arial" w:hAnsi="Arial" w:cs="Arial"/>
          <w:b/>
          <w:i/>
          <w:iCs/>
          <w:sz w:val="18"/>
          <w:szCs w:val="18"/>
        </w:rPr>
        <w:t>i</w:t>
      </w:r>
      <w:proofErr w:type="spellEnd"/>
      <w:r w:rsidRPr="00AB2BA4">
        <w:rPr>
          <w:rFonts w:ascii="Arial" w:hAnsi="Arial" w:cs="Arial"/>
          <w:i/>
          <w:iCs/>
          <w:sz w:val="18"/>
          <w:szCs w:val="18"/>
        </w:rPr>
        <w:t xml:space="preserve">) Dual color imaging and </w:t>
      </w:r>
      <w:r w:rsidRPr="00AB2BA4">
        <w:rPr>
          <w:rFonts w:ascii="Arial" w:eastAsia="Times New Roman" w:hAnsi="Arial" w:cs="Arial"/>
          <w:i/>
          <w:iCs/>
          <w:sz w:val="18"/>
          <w:szCs w:val="18"/>
        </w:rPr>
        <w:t>quantification of</w:t>
      </w:r>
      <w:r w:rsidRPr="00AB2BA4">
        <w:rPr>
          <w:rFonts w:ascii="Arial" w:hAnsi="Arial" w:cs="Arial"/>
          <w:i/>
          <w:iCs/>
          <w:sz w:val="18"/>
          <w:szCs w:val="18"/>
        </w:rPr>
        <w:t xml:space="preserve"> NbLumSyt1-rsEGFP</w:t>
      </w:r>
      <w:r w:rsidRPr="00AB2BA4">
        <w:rPr>
          <w:rFonts w:ascii="Arial" w:eastAsia="Times New Roman" w:hAnsi="Arial" w:cs="Arial"/>
          <w:i/>
          <w:iCs/>
          <w:sz w:val="18"/>
          <w:szCs w:val="18"/>
        </w:rPr>
        <w:t xml:space="preserve"> </w:t>
      </w:r>
      <w:r w:rsidRPr="00AB2BA4">
        <w:rPr>
          <w:rFonts w:ascii="Arial" w:hAnsi="Arial" w:cs="Arial"/>
          <w:i/>
          <w:iCs/>
          <w:sz w:val="18"/>
          <w:szCs w:val="18"/>
        </w:rPr>
        <w:t xml:space="preserve">(N205S) in the cyan channel and an inhibitory </w:t>
      </w:r>
      <w:r w:rsidRPr="00AB2BA4">
        <w:rPr>
          <w:rFonts w:ascii="Arial" w:eastAsia="Times New Roman" w:hAnsi="Arial" w:cs="Arial"/>
          <w:i/>
          <w:iCs/>
          <w:sz w:val="18"/>
          <w:szCs w:val="18"/>
        </w:rPr>
        <w:t>synapse</w:t>
      </w:r>
      <w:r w:rsidRPr="00AB2BA4">
        <w:rPr>
          <w:rFonts w:ascii="Arial" w:hAnsi="Arial" w:cs="Arial"/>
          <w:i/>
          <w:iCs/>
          <w:sz w:val="18"/>
          <w:szCs w:val="18"/>
        </w:rPr>
        <w:t xml:space="preserve"> marker in the orange channel (vGAT-Cy3). </w:t>
      </w:r>
      <w:proofErr w:type="spellStart"/>
      <w:r w:rsidRPr="00AB2BA4">
        <w:rPr>
          <w:rFonts w:ascii="Arial" w:hAnsi="Arial" w:cs="Arial"/>
          <w:b/>
          <w:bCs/>
          <w:i/>
          <w:iCs/>
          <w:sz w:val="18"/>
          <w:szCs w:val="18"/>
        </w:rPr>
        <w:t>i</w:t>
      </w:r>
      <w:proofErr w:type="spellEnd"/>
      <w:r w:rsidRPr="00AB2BA4">
        <w:rPr>
          <w:rFonts w:ascii="Arial" w:hAnsi="Arial" w:cs="Arial"/>
          <w:i/>
          <w:iCs/>
          <w:sz w:val="18"/>
          <w:szCs w:val="18"/>
        </w:rPr>
        <w:t>) Inhibitory synapses (</w:t>
      </w:r>
      <w:proofErr w:type="spellStart"/>
      <w:r w:rsidRPr="00AB2BA4">
        <w:rPr>
          <w:rFonts w:ascii="Arial" w:hAnsi="Arial" w:cs="Arial"/>
          <w:i/>
          <w:iCs/>
          <w:sz w:val="18"/>
          <w:szCs w:val="18"/>
        </w:rPr>
        <w:t>vGAT</w:t>
      </w:r>
      <w:proofErr w:type="spellEnd"/>
      <w:r w:rsidRPr="00AB2BA4">
        <w:rPr>
          <w:rFonts w:ascii="Arial" w:hAnsi="Arial" w:cs="Arial"/>
          <w:i/>
          <w:iCs/>
          <w:sz w:val="18"/>
          <w:szCs w:val="18"/>
        </w:rPr>
        <w:t>-positive)</w:t>
      </w:r>
      <w:r w:rsidRPr="00AB2BA4">
        <w:rPr>
          <w:rFonts w:ascii="Arial" w:eastAsia="Times New Roman" w:hAnsi="Arial" w:cs="Arial"/>
          <w:i/>
          <w:iCs/>
          <w:sz w:val="18"/>
          <w:szCs w:val="18"/>
        </w:rPr>
        <w:t xml:space="preserve"> significantly increased</w:t>
      </w:r>
      <w:r w:rsidRPr="00AB2BA4">
        <w:rPr>
          <w:rFonts w:ascii="Arial" w:hAnsi="Arial" w:cs="Arial"/>
          <w:i/>
          <w:iCs/>
          <w:sz w:val="18"/>
          <w:szCs w:val="18"/>
        </w:rPr>
        <w:t xml:space="preserve"> in area and mean intensity. The shape of the active zone of </w:t>
      </w:r>
      <w:r w:rsidRPr="00AB2BA4">
        <w:rPr>
          <w:rFonts w:ascii="Arial" w:eastAsia="Times New Roman" w:hAnsi="Arial" w:cs="Arial"/>
          <w:i/>
          <w:iCs/>
          <w:sz w:val="18"/>
          <w:szCs w:val="18"/>
        </w:rPr>
        <w:t xml:space="preserve">the </w:t>
      </w:r>
      <w:r w:rsidRPr="00AB2BA4">
        <w:rPr>
          <w:rFonts w:ascii="Arial" w:hAnsi="Arial" w:cs="Arial"/>
          <w:i/>
          <w:iCs/>
          <w:sz w:val="18"/>
          <w:szCs w:val="18"/>
        </w:rPr>
        <w:t xml:space="preserve">inhibitory synapses </w:t>
      </w:r>
      <w:r w:rsidRPr="00AB2BA4">
        <w:rPr>
          <w:rFonts w:ascii="Arial" w:eastAsia="Times New Roman" w:hAnsi="Arial" w:cs="Arial"/>
          <w:i/>
          <w:iCs/>
          <w:sz w:val="18"/>
          <w:szCs w:val="18"/>
        </w:rPr>
        <w:t xml:space="preserve">was </w:t>
      </w:r>
      <w:r w:rsidRPr="00AB2BA4">
        <w:rPr>
          <w:rFonts w:ascii="Arial" w:hAnsi="Arial" w:cs="Arial"/>
          <w:i/>
          <w:iCs/>
          <w:sz w:val="18"/>
          <w:szCs w:val="18"/>
        </w:rPr>
        <w:t>also mostly elliptical and packed</w:t>
      </w:r>
      <w:r w:rsidRPr="00AB2BA4">
        <w:rPr>
          <w:rFonts w:ascii="Arial" w:eastAsia="Times New Roman" w:hAnsi="Arial" w:cs="Arial"/>
          <w:i/>
          <w:iCs/>
          <w:sz w:val="18"/>
          <w:szCs w:val="18"/>
        </w:rPr>
        <w:t>,</w:t>
      </w:r>
      <w:r w:rsidRPr="00AB2BA4">
        <w:rPr>
          <w:rFonts w:ascii="Arial" w:hAnsi="Arial" w:cs="Arial"/>
          <w:i/>
          <w:iCs/>
          <w:sz w:val="18"/>
          <w:szCs w:val="18"/>
        </w:rPr>
        <w:t xml:space="preserve"> with an increased number of small clusters. Ellipticity is defined as the ratio between the minor </w:t>
      </w:r>
      <w:r w:rsidRPr="00AB2BA4">
        <w:rPr>
          <w:rFonts w:ascii="Arial" w:eastAsia="Times New Roman" w:hAnsi="Arial" w:cs="Arial"/>
          <w:i/>
          <w:iCs/>
          <w:sz w:val="18"/>
          <w:szCs w:val="18"/>
        </w:rPr>
        <w:t xml:space="preserve">axis </w:t>
      </w:r>
      <w:r w:rsidRPr="00AB2BA4">
        <w:rPr>
          <w:rFonts w:ascii="Arial" w:hAnsi="Arial" w:cs="Arial"/>
          <w:i/>
          <w:iCs/>
          <w:sz w:val="18"/>
          <w:szCs w:val="18"/>
        </w:rPr>
        <w:t>and the major axis of each cluster (ranging from 0</w:t>
      </w:r>
      <w:r w:rsidRPr="00AB2BA4">
        <w:rPr>
          <w:rFonts w:ascii="Arial" w:eastAsia="Times New Roman" w:hAnsi="Arial" w:cs="Arial"/>
          <w:i/>
          <w:iCs/>
          <w:sz w:val="18"/>
          <w:szCs w:val="18"/>
        </w:rPr>
        <w:t>-</w:t>
      </w:r>
      <w:r w:rsidRPr="00AB2BA4">
        <w:rPr>
          <w:rFonts w:ascii="Arial" w:hAnsi="Arial" w:cs="Arial"/>
          <w:i/>
          <w:iCs/>
          <w:sz w:val="18"/>
          <w:szCs w:val="18"/>
        </w:rPr>
        <w:t xml:space="preserve">1). The graphs are the </w:t>
      </w:r>
      <w:r w:rsidRPr="00AB2BA4">
        <w:rPr>
          <w:rFonts w:ascii="Arial" w:eastAsia="Times New Roman" w:hAnsi="Arial" w:cs="Arial"/>
          <w:i/>
          <w:iCs/>
          <w:sz w:val="18"/>
          <w:szCs w:val="18"/>
        </w:rPr>
        <w:t>results</w:t>
      </w:r>
      <w:r w:rsidRPr="00AB2BA4">
        <w:rPr>
          <w:rFonts w:ascii="Arial" w:hAnsi="Arial" w:cs="Arial"/>
          <w:i/>
          <w:iCs/>
          <w:sz w:val="18"/>
          <w:szCs w:val="18"/>
        </w:rPr>
        <w:t xml:space="preserve"> of 648 clusters </w:t>
      </w:r>
      <w:r w:rsidRPr="00AB2BA4">
        <w:rPr>
          <w:rFonts w:ascii="Arial" w:eastAsia="Times New Roman" w:hAnsi="Arial" w:cs="Arial"/>
          <w:i/>
          <w:iCs/>
          <w:sz w:val="18"/>
          <w:szCs w:val="18"/>
        </w:rPr>
        <w:t>from</w:t>
      </w:r>
      <w:r w:rsidRPr="00AB2BA4">
        <w:rPr>
          <w:rFonts w:ascii="Arial" w:hAnsi="Arial" w:cs="Arial"/>
          <w:i/>
          <w:iCs/>
          <w:sz w:val="18"/>
          <w:szCs w:val="18"/>
        </w:rPr>
        <w:t xml:space="preserve"> 6 experiments, with a mean of </w:t>
      </w:r>
      <w:r w:rsidRPr="00AB2BA4">
        <w:rPr>
          <w:rFonts w:ascii="Arial" w:eastAsia="Times New Roman" w:hAnsi="Arial" w:cs="Arial"/>
          <w:i/>
          <w:iCs/>
          <w:sz w:val="18"/>
          <w:szCs w:val="18"/>
        </w:rPr>
        <w:t>approximately</w:t>
      </w:r>
      <w:r w:rsidRPr="00AB2BA4">
        <w:rPr>
          <w:rFonts w:ascii="Arial" w:hAnsi="Arial" w:cs="Arial"/>
          <w:i/>
          <w:iCs/>
          <w:sz w:val="18"/>
          <w:szCs w:val="18"/>
        </w:rPr>
        <w:t xml:space="preserve"> 100 clusters identified per field of view. Unpaired Student’s t</w:t>
      </w:r>
      <w:r w:rsidRPr="00AB2BA4">
        <w:rPr>
          <w:rFonts w:ascii="Arial" w:eastAsia="Times New Roman" w:hAnsi="Arial" w:cs="Arial"/>
          <w:i/>
          <w:iCs/>
          <w:sz w:val="18"/>
          <w:szCs w:val="18"/>
        </w:rPr>
        <w:t xml:space="preserve"> </w:t>
      </w:r>
      <w:r w:rsidRPr="00AB2BA4">
        <w:rPr>
          <w:rFonts w:ascii="Arial" w:hAnsi="Arial" w:cs="Arial"/>
          <w:i/>
          <w:iCs/>
          <w:sz w:val="18"/>
          <w:szCs w:val="18"/>
        </w:rPr>
        <w:t>test. *** = p ≤ 0.001. Scale bars: 650 nm</w:t>
      </w:r>
      <w:r w:rsidRPr="00AB2BA4">
        <w:rPr>
          <w:rFonts w:ascii="Arial" w:eastAsia="DengXian" w:hAnsi="Arial" w:cs="Arial" w:hint="eastAsia"/>
          <w:i/>
          <w:iCs/>
          <w:sz w:val="18"/>
          <w:szCs w:val="18"/>
          <w:lang w:eastAsia="zh-CN"/>
        </w:rPr>
        <w:t xml:space="preserve"> in </w:t>
      </w:r>
      <w:r w:rsidRPr="00AB2BA4">
        <w:rPr>
          <w:rFonts w:ascii="Arial" w:eastAsia="DengXian" w:hAnsi="Arial" w:cs="Arial"/>
          <w:b/>
          <w:bCs/>
          <w:i/>
          <w:iCs/>
          <w:sz w:val="18"/>
          <w:szCs w:val="18"/>
          <w:lang w:eastAsia="zh-CN"/>
        </w:rPr>
        <w:t>a</w:t>
      </w:r>
      <w:r w:rsidRPr="00AB2BA4">
        <w:rPr>
          <w:rFonts w:ascii="Arial" w:hAnsi="Arial" w:cs="Arial"/>
          <w:i/>
          <w:iCs/>
          <w:sz w:val="18"/>
          <w:szCs w:val="18"/>
        </w:rPr>
        <w:t>; 5 µm</w:t>
      </w:r>
      <w:r w:rsidRPr="00AB2BA4">
        <w:rPr>
          <w:rFonts w:ascii="Arial" w:eastAsia="DengXian" w:hAnsi="Arial" w:cs="Arial" w:hint="eastAsia"/>
          <w:i/>
          <w:iCs/>
          <w:sz w:val="18"/>
          <w:szCs w:val="18"/>
          <w:lang w:eastAsia="zh-CN"/>
        </w:rPr>
        <w:t xml:space="preserve"> in </w:t>
      </w:r>
      <w:r w:rsidRPr="00AB2BA4">
        <w:rPr>
          <w:rFonts w:ascii="Arial" w:eastAsia="DengXian" w:hAnsi="Arial" w:cs="Arial"/>
          <w:b/>
          <w:bCs/>
          <w:i/>
          <w:iCs/>
          <w:sz w:val="18"/>
          <w:szCs w:val="18"/>
          <w:lang w:eastAsia="zh-CN"/>
        </w:rPr>
        <w:t>b</w:t>
      </w:r>
      <w:r w:rsidRPr="00AB2BA4">
        <w:rPr>
          <w:rFonts w:ascii="Arial" w:eastAsia="DengXian" w:hAnsi="Arial" w:cs="Arial" w:hint="eastAsia"/>
          <w:i/>
          <w:iCs/>
          <w:sz w:val="18"/>
          <w:szCs w:val="18"/>
          <w:lang w:eastAsia="zh-CN"/>
        </w:rPr>
        <w:t xml:space="preserve">, </w:t>
      </w:r>
      <w:r w:rsidRPr="00AB2BA4">
        <w:rPr>
          <w:rFonts w:ascii="Arial" w:eastAsia="DengXian" w:hAnsi="Arial" w:cs="Arial"/>
          <w:b/>
          <w:bCs/>
          <w:i/>
          <w:iCs/>
          <w:sz w:val="18"/>
          <w:szCs w:val="18"/>
          <w:lang w:eastAsia="zh-CN"/>
        </w:rPr>
        <w:t>d</w:t>
      </w:r>
      <w:r w:rsidRPr="00AB2BA4">
        <w:rPr>
          <w:rFonts w:ascii="Arial" w:eastAsia="DengXian" w:hAnsi="Arial" w:cs="Arial" w:hint="eastAsia"/>
          <w:i/>
          <w:iCs/>
          <w:sz w:val="18"/>
          <w:szCs w:val="18"/>
          <w:lang w:eastAsia="zh-CN"/>
        </w:rPr>
        <w:t xml:space="preserve">, and </w:t>
      </w:r>
      <w:r w:rsidRPr="00AB2BA4">
        <w:rPr>
          <w:rFonts w:ascii="Arial" w:eastAsia="DengXian" w:hAnsi="Arial" w:cs="Arial"/>
          <w:b/>
          <w:bCs/>
          <w:i/>
          <w:iCs/>
          <w:sz w:val="18"/>
          <w:szCs w:val="18"/>
          <w:lang w:eastAsia="zh-CN"/>
        </w:rPr>
        <w:t>g</w:t>
      </w:r>
      <w:r w:rsidRPr="00AB2BA4">
        <w:rPr>
          <w:rFonts w:ascii="Arial" w:hAnsi="Arial" w:cs="Arial"/>
          <w:i/>
          <w:iCs/>
          <w:sz w:val="18"/>
          <w:szCs w:val="18"/>
        </w:rPr>
        <w:t>; 500 nm</w:t>
      </w:r>
      <w:r w:rsidRPr="00AB2BA4">
        <w:rPr>
          <w:rFonts w:ascii="Arial" w:eastAsia="DengXian" w:hAnsi="Arial" w:cs="Arial" w:hint="eastAsia"/>
          <w:i/>
          <w:iCs/>
          <w:sz w:val="18"/>
          <w:szCs w:val="18"/>
          <w:lang w:eastAsia="zh-CN"/>
        </w:rPr>
        <w:t xml:space="preserve"> in </w:t>
      </w:r>
      <w:r w:rsidRPr="00AB2BA4">
        <w:rPr>
          <w:rFonts w:ascii="Arial" w:eastAsia="DengXian" w:hAnsi="Arial" w:cs="Arial"/>
          <w:b/>
          <w:bCs/>
          <w:i/>
          <w:iCs/>
          <w:sz w:val="18"/>
          <w:szCs w:val="18"/>
          <w:lang w:eastAsia="zh-CN"/>
        </w:rPr>
        <w:t>c</w:t>
      </w:r>
      <w:r w:rsidRPr="00AB2BA4">
        <w:rPr>
          <w:rFonts w:ascii="Arial" w:eastAsia="DengXian" w:hAnsi="Arial" w:cs="Arial" w:hint="eastAsia"/>
          <w:i/>
          <w:iCs/>
          <w:sz w:val="18"/>
          <w:szCs w:val="18"/>
          <w:lang w:eastAsia="zh-CN"/>
        </w:rPr>
        <w:t xml:space="preserve"> and </w:t>
      </w:r>
      <w:r w:rsidRPr="00AB2BA4">
        <w:rPr>
          <w:rFonts w:ascii="Arial" w:eastAsia="DengXian" w:hAnsi="Arial" w:cs="Arial"/>
          <w:b/>
          <w:bCs/>
          <w:i/>
          <w:iCs/>
          <w:sz w:val="18"/>
          <w:szCs w:val="18"/>
          <w:lang w:eastAsia="zh-CN"/>
        </w:rPr>
        <w:t>e</w:t>
      </w:r>
      <w:r w:rsidRPr="00AB2BA4">
        <w:rPr>
          <w:rFonts w:ascii="Arial" w:hAnsi="Arial" w:cs="Arial"/>
          <w:i/>
          <w:iCs/>
          <w:sz w:val="18"/>
          <w:szCs w:val="18"/>
        </w:rPr>
        <w:t>; 1 µm</w:t>
      </w:r>
      <w:r w:rsidRPr="00AB2BA4">
        <w:rPr>
          <w:rFonts w:ascii="Arial" w:eastAsia="DengXian" w:hAnsi="Arial" w:cs="Arial" w:hint="eastAsia"/>
          <w:i/>
          <w:iCs/>
          <w:sz w:val="18"/>
          <w:szCs w:val="18"/>
          <w:lang w:eastAsia="zh-CN"/>
        </w:rPr>
        <w:t xml:space="preserve"> in </w:t>
      </w:r>
      <w:r w:rsidRPr="00AB2BA4">
        <w:rPr>
          <w:rFonts w:ascii="Arial" w:eastAsia="DengXian" w:hAnsi="Arial" w:cs="Arial"/>
          <w:b/>
          <w:bCs/>
          <w:i/>
          <w:iCs/>
          <w:sz w:val="18"/>
          <w:szCs w:val="18"/>
          <w:lang w:eastAsia="zh-CN"/>
        </w:rPr>
        <w:t>h</w:t>
      </w:r>
      <w:r w:rsidRPr="00AB2BA4">
        <w:rPr>
          <w:rFonts w:ascii="Arial" w:hAnsi="Arial" w:cs="Arial"/>
          <w:i/>
          <w:iCs/>
          <w:sz w:val="18"/>
          <w:szCs w:val="18"/>
        </w:rPr>
        <w:t>.</w:t>
      </w:r>
    </w:p>
    <w:p w14:paraId="704A39D1" w14:textId="77777777" w:rsidR="00E22114" w:rsidRDefault="00E22114"/>
    <w:sectPr w:rsidR="00E22114" w:rsidSect="000546C6">
      <w:footerReference w:type="even" r:id="rId8"/>
      <w:footerReference w:type="default" r:id="rId9"/>
      <w:pgSz w:w="11906" w:h="16838"/>
      <w:pgMar w:top="1440" w:right="1440" w:bottom="1440" w:left="1440" w:header="709" w:footer="709" w:gutter="0"/>
      <w:lnNumType w:countBy="10" w:restart="continuous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1750496241"/>
      <w:docPartObj>
        <w:docPartGallery w:val="Page Numbers (Bottom of Page)"/>
        <w:docPartUnique/>
      </w:docPartObj>
    </w:sdtPr>
    <w:sdtEndPr/>
    <w:sdtContent>
      <w:p w14:paraId="3FA34611" w14:textId="77777777" w:rsidR="000546C6" w:rsidRDefault="000546C6" w:rsidP="004F3A2F">
        <w:pPr>
          <w:framePr w:wrap="none" w:vAnchor="text" w:hAnchor="margin" w:xAlign="center" w:y="1"/>
        </w:pPr>
        <w:r>
          <w:fldChar w:fldCharType="begin"/>
        </w:r>
        <w:r>
          <w:instrText xml:space="preserve"> PAGE</w:instrText>
        </w:r>
        <w:r>
          <w:fldChar w:fldCharType="separate"/>
        </w:r>
        <w:r>
          <w:fldChar w:fldCharType="end"/>
        </w:r>
      </w:p>
    </w:sdtContent>
  </w:sdt>
  <w:p w14:paraId="75C3D476" w14:textId="77777777" w:rsidR="000546C6" w:rsidRDefault="000546C6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Fonts w:ascii="Arial" w:hAnsi="Arial" w:cs="Arial"/>
      </w:rPr>
      <w:id w:val="1944417937"/>
      <w:docPartObj>
        <w:docPartGallery w:val="Page Numbers (Bottom of Page)"/>
        <w:docPartUnique/>
      </w:docPartObj>
    </w:sdtPr>
    <w:sdtEndPr/>
    <w:sdtContent>
      <w:p w14:paraId="38BF735C" w14:textId="77777777" w:rsidR="000546C6" w:rsidRPr="005E6760" w:rsidRDefault="000546C6" w:rsidP="004F3A2F">
        <w:pPr>
          <w:framePr w:wrap="none" w:vAnchor="text" w:hAnchor="margin" w:xAlign="center" w:y="1"/>
          <w:rPr>
            <w:rFonts w:ascii="Arial" w:hAnsi="Arial" w:cs="Arial"/>
          </w:rPr>
        </w:pPr>
        <w:r w:rsidRPr="005E6760">
          <w:rPr>
            <w:rFonts w:ascii="Arial" w:hAnsi="Arial" w:cs="Arial"/>
          </w:rPr>
          <w:fldChar w:fldCharType="begin"/>
        </w:r>
        <w:r w:rsidRPr="005E6760">
          <w:rPr>
            <w:rFonts w:ascii="Arial" w:hAnsi="Arial" w:cs="Arial"/>
          </w:rPr>
          <w:instrText xml:space="preserve"> PAGE </w:instrText>
        </w:r>
        <w:r w:rsidRPr="005E6760">
          <w:rPr>
            <w:rFonts w:ascii="Arial" w:hAnsi="Arial" w:cs="Arial"/>
          </w:rPr>
          <w:fldChar w:fldCharType="separate"/>
        </w:r>
        <w:r w:rsidRPr="005E6760">
          <w:rPr>
            <w:rFonts w:ascii="Arial" w:hAnsi="Arial" w:cs="Arial"/>
            <w:noProof/>
          </w:rPr>
          <w:t>2</w:t>
        </w:r>
        <w:r w:rsidRPr="005E6760">
          <w:rPr>
            <w:rFonts w:ascii="Arial" w:hAnsi="Arial" w:cs="Arial"/>
          </w:rPr>
          <w:fldChar w:fldCharType="end"/>
        </w:r>
      </w:p>
    </w:sdtContent>
  </w:sdt>
  <w:p w14:paraId="23B960F9" w14:textId="77777777" w:rsidR="000546C6" w:rsidRPr="00CB7BC1" w:rsidRDefault="000546C6">
    <w:pPr>
      <w:rPr>
        <w:rFonts w:ascii="Arial" w:hAnsi="Arial" w:cs="Arial"/>
        <w:i/>
        <w:iCs/>
        <w:color w:val="808080" w:themeColor="background1" w:themeShade="80"/>
      </w:rPr>
    </w:pPr>
    <w:r w:rsidRPr="00CB7BC1">
      <w:rPr>
        <w:rFonts w:ascii="Arial" w:hAnsi="Arial" w:cs="Arial"/>
        <w:i/>
        <w:iCs/>
        <w:color w:val="808080" w:themeColor="background1" w:themeShade="80"/>
      </w:rPr>
      <w:t>A palette of nanotools for Syt1</w:t>
    </w:r>
    <w:r w:rsidRPr="00CB7BC1">
      <w:rPr>
        <w:rFonts w:ascii="Arial" w:hAnsi="Arial" w:cs="Arial"/>
        <w:i/>
        <w:iCs/>
        <w:color w:val="808080" w:themeColor="background1" w:themeShade="80"/>
      </w:rPr>
      <w:tab/>
    </w:r>
    <w:r w:rsidRPr="00CB7BC1">
      <w:rPr>
        <w:rFonts w:ascii="Arial" w:hAnsi="Arial" w:cs="Arial"/>
        <w:i/>
        <w:iCs/>
        <w:color w:val="808080" w:themeColor="background1" w:themeShade="80"/>
      </w:rPr>
      <w:tab/>
    </w:r>
    <w:r w:rsidRPr="00CB7BC1">
      <w:rPr>
        <w:rFonts w:ascii="Arial" w:hAnsi="Arial" w:cs="Arial"/>
        <w:i/>
        <w:iCs/>
        <w:color w:val="808080" w:themeColor="background1" w:themeShade="80"/>
      </w:rPr>
      <w:tab/>
    </w:r>
    <w:r w:rsidRPr="00CB7BC1">
      <w:rPr>
        <w:rFonts w:ascii="Arial" w:hAnsi="Arial" w:cs="Arial"/>
        <w:i/>
        <w:iCs/>
        <w:color w:val="808080" w:themeColor="background1" w:themeShade="80"/>
      </w:rPr>
      <w:tab/>
    </w:r>
    <w:r w:rsidRPr="00CB7BC1">
      <w:rPr>
        <w:rFonts w:ascii="Arial" w:hAnsi="Arial" w:cs="Arial"/>
        <w:i/>
        <w:iCs/>
        <w:color w:val="808080" w:themeColor="background1" w:themeShade="80"/>
      </w:rPr>
      <w:tab/>
    </w:r>
    <w:r w:rsidRPr="00CB7BC1">
      <w:rPr>
        <w:rFonts w:ascii="Arial" w:hAnsi="Arial" w:cs="Arial"/>
        <w:i/>
        <w:iCs/>
        <w:color w:val="808080" w:themeColor="background1" w:themeShade="80"/>
      </w:rPr>
      <w:tab/>
      <w:t>Goel et al., 202</w:t>
    </w:r>
    <w:r>
      <w:rPr>
        <w:rFonts w:ascii="Arial" w:hAnsi="Arial" w:cs="Arial"/>
        <w:i/>
        <w:iCs/>
        <w:color w:val="808080" w:themeColor="background1" w:themeShade="80"/>
      </w:rPr>
      <w:t>6</w:t>
    </w:r>
  </w:p>
</w:ft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546C6"/>
    <w:rsid w:val="000546C6"/>
    <w:rsid w:val="000F4EDC"/>
    <w:rsid w:val="001A7B73"/>
    <w:rsid w:val="00C37C88"/>
    <w:rsid w:val="00E22114"/>
    <w:rsid w:val="00F3755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4CBCAC0"/>
  <w15:chartTrackingRefBased/>
  <w15:docId w15:val="{1A6A29BA-FD55-4286-8ED8-08AC6E8CB54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IN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546C6"/>
    <w:pPr>
      <w:spacing w:after="0" w:line="240" w:lineRule="auto"/>
    </w:pPr>
    <w:rPr>
      <w:rFonts w:eastAsiaTheme="minorEastAsia"/>
      <w:lang w:val="en-US" w:eastAsia="en-GB"/>
    </w:rPr>
  </w:style>
  <w:style w:type="paragraph" w:styleId="Heading1">
    <w:name w:val="heading 1"/>
    <w:basedOn w:val="Normal"/>
    <w:next w:val="Normal"/>
    <w:link w:val="Heading1Char"/>
    <w:uiPriority w:val="9"/>
    <w:qFormat/>
    <w:rsid w:val="000546C6"/>
    <w:pPr>
      <w:keepNext/>
      <w:keepLines/>
      <w:spacing w:before="360" w:after="80" w:line="278" w:lineRule="auto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  <w:lang w:val="en-IN" w:eastAsia="en-US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0546C6"/>
    <w:pPr>
      <w:keepNext/>
      <w:keepLines/>
      <w:spacing w:before="160" w:after="80" w:line="278" w:lineRule="auto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  <w:lang w:val="en-IN" w:eastAsia="en-US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0546C6"/>
    <w:pPr>
      <w:keepNext/>
      <w:keepLines/>
      <w:spacing w:before="160" w:after="80" w:line="278" w:lineRule="auto"/>
      <w:outlineLvl w:val="2"/>
    </w:pPr>
    <w:rPr>
      <w:rFonts w:eastAsiaTheme="majorEastAsia" w:cstheme="majorBidi"/>
      <w:color w:val="0F4761" w:themeColor="accent1" w:themeShade="BF"/>
      <w:sz w:val="28"/>
      <w:szCs w:val="28"/>
      <w:lang w:val="en-IN" w:eastAsia="en-US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0546C6"/>
    <w:pPr>
      <w:keepNext/>
      <w:keepLines/>
      <w:spacing w:before="80" w:after="40" w:line="278" w:lineRule="auto"/>
      <w:outlineLvl w:val="3"/>
    </w:pPr>
    <w:rPr>
      <w:rFonts w:eastAsiaTheme="majorEastAsia" w:cstheme="majorBidi"/>
      <w:i/>
      <w:iCs/>
      <w:color w:val="0F4761" w:themeColor="accent1" w:themeShade="BF"/>
      <w:lang w:val="en-IN" w:eastAsia="en-US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0546C6"/>
    <w:pPr>
      <w:keepNext/>
      <w:keepLines/>
      <w:spacing w:before="80" w:after="40" w:line="278" w:lineRule="auto"/>
      <w:outlineLvl w:val="4"/>
    </w:pPr>
    <w:rPr>
      <w:rFonts w:eastAsiaTheme="majorEastAsia" w:cstheme="majorBidi"/>
      <w:color w:val="0F4761" w:themeColor="accent1" w:themeShade="BF"/>
      <w:lang w:val="en-IN" w:eastAsia="en-US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0546C6"/>
    <w:pPr>
      <w:keepNext/>
      <w:keepLines/>
      <w:spacing w:before="40" w:line="278" w:lineRule="auto"/>
      <w:outlineLvl w:val="5"/>
    </w:pPr>
    <w:rPr>
      <w:rFonts w:eastAsiaTheme="majorEastAsia" w:cstheme="majorBidi"/>
      <w:i/>
      <w:iCs/>
      <w:color w:val="595959" w:themeColor="text1" w:themeTint="A6"/>
      <w:lang w:val="en-IN" w:eastAsia="en-US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0546C6"/>
    <w:pPr>
      <w:keepNext/>
      <w:keepLines/>
      <w:spacing w:before="40" w:line="278" w:lineRule="auto"/>
      <w:outlineLvl w:val="6"/>
    </w:pPr>
    <w:rPr>
      <w:rFonts w:eastAsiaTheme="majorEastAsia" w:cstheme="majorBidi"/>
      <w:color w:val="595959" w:themeColor="text1" w:themeTint="A6"/>
      <w:lang w:val="en-IN" w:eastAsia="en-US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0546C6"/>
    <w:pPr>
      <w:keepNext/>
      <w:keepLines/>
      <w:spacing w:line="278" w:lineRule="auto"/>
      <w:outlineLvl w:val="7"/>
    </w:pPr>
    <w:rPr>
      <w:rFonts w:eastAsiaTheme="majorEastAsia" w:cstheme="majorBidi"/>
      <w:i/>
      <w:iCs/>
      <w:color w:val="272727" w:themeColor="text1" w:themeTint="D8"/>
      <w:lang w:val="en-IN" w:eastAsia="en-US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0546C6"/>
    <w:pPr>
      <w:keepNext/>
      <w:keepLines/>
      <w:spacing w:line="278" w:lineRule="auto"/>
      <w:outlineLvl w:val="8"/>
    </w:pPr>
    <w:rPr>
      <w:rFonts w:eastAsiaTheme="majorEastAsia" w:cstheme="majorBidi"/>
      <w:color w:val="272727" w:themeColor="text1" w:themeTint="D8"/>
      <w:lang w:val="en-IN"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0546C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0546C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0546C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0546C6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0546C6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0546C6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0546C6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0546C6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0546C6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0546C6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  <w:lang w:val="en-IN" w:eastAsia="en-US"/>
    </w:rPr>
  </w:style>
  <w:style w:type="character" w:customStyle="1" w:styleId="TitleChar">
    <w:name w:val="Title Char"/>
    <w:basedOn w:val="DefaultParagraphFont"/>
    <w:link w:val="Title"/>
    <w:uiPriority w:val="10"/>
    <w:rsid w:val="000546C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0546C6"/>
    <w:pPr>
      <w:numPr>
        <w:ilvl w:val="1"/>
      </w:numPr>
      <w:spacing w:after="160" w:line="278" w:lineRule="auto"/>
    </w:pPr>
    <w:rPr>
      <w:rFonts w:eastAsiaTheme="majorEastAsia" w:cstheme="majorBidi"/>
      <w:color w:val="595959" w:themeColor="text1" w:themeTint="A6"/>
      <w:spacing w:val="15"/>
      <w:sz w:val="28"/>
      <w:szCs w:val="28"/>
      <w:lang w:val="en-IN" w:eastAsia="en-US"/>
    </w:rPr>
  </w:style>
  <w:style w:type="character" w:customStyle="1" w:styleId="SubtitleChar">
    <w:name w:val="Subtitle Char"/>
    <w:basedOn w:val="DefaultParagraphFont"/>
    <w:link w:val="Subtitle"/>
    <w:uiPriority w:val="11"/>
    <w:rsid w:val="000546C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0546C6"/>
    <w:pPr>
      <w:spacing w:before="160" w:after="160" w:line="278" w:lineRule="auto"/>
      <w:jc w:val="center"/>
    </w:pPr>
    <w:rPr>
      <w:rFonts w:eastAsiaTheme="minorHAnsi"/>
      <w:i/>
      <w:iCs/>
      <w:color w:val="404040" w:themeColor="text1" w:themeTint="BF"/>
      <w:lang w:val="en-IN" w:eastAsia="en-US"/>
    </w:rPr>
  </w:style>
  <w:style w:type="character" w:customStyle="1" w:styleId="QuoteChar">
    <w:name w:val="Quote Char"/>
    <w:basedOn w:val="DefaultParagraphFont"/>
    <w:link w:val="Quote"/>
    <w:uiPriority w:val="29"/>
    <w:rsid w:val="000546C6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0546C6"/>
    <w:pPr>
      <w:spacing w:after="160" w:line="278" w:lineRule="auto"/>
      <w:ind w:left="720"/>
      <w:contextualSpacing/>
    </w:pPr>
    <w:rPr>
      <w:rFonts w:eastAsiaTheme="minorHAnsi"/>
      <w:lang w:val="en-IN" w:eastAsia="en-US"/>
    </w:rPr>
  </w:style>
  <w:style w:type="character" w:styleId="IntenseEmphasis">
    <w:name w:val="Intense Emphasis"/>
    <w:basedOn w:val="DefaultParagraphFont"/>
    <w:uiPriority w:val="21"/>
    <w:qFormat/>
    <w:rsid w:val="000546C6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0546C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 w:line="278" w:lineRule="auto"/>
      <w:ind w:left="864" w:right="864"/>
      <w:jc w:val="center"/>
    </w:pPr>
    <w:rPr>
      <w:rFonts w:eastAsiaTheme="minorHAnsi"/>
      <w:i/>
      <w:iCs/>
      <w:color w:val="0F4761" w:themeColor="accent1" w:themeShade="BF"/>
      <w:lang w:val="en-IN" w:eastAsia="en-US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0546C6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0546C6"/>
    <w:rPr>
      <w:b/>
      <w:bCs/>
      <w:smallCaps/>
      <w:color w:val="0F4761" w:themeColor="accent1" w:themeShade="BF"/>
      <w:spacing w:val="5"/>
    </w:rPr>
  </w:style>
  <w:style w:type="character" w:styleId="LineNumber">
    <w:name w:val="line number"/>
    <w:basedOn w:val="DefaultParagraphFont"/>
    <w:uiPriority w:val="99"/>
    <w:semiHidden/>
    <w:unhideWhenUsed/>
    <w:rsid w:val="000546C6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theme" Target="theme/theme1.xml"/><Relationship Id="rId5" Type="http://schemas.openxmlformats.org/officeDocument/2006/relationships/image" Target="media/image2.jpeg"/><Relationship Id="rId10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</Pages>
  <Words>909</Words>
  <Characters>5183</Characters>
  <Application>Microsoft Office Word</Application>
  <DocSecurity>0</DocSecurity>
  <Lines>43</Lines>
  <Paragraphs>12</Paragraphs>
  <ScaleCrop>false</ScaleCrop>
  <Company>SPi Technologies India Pvt Ltd</Company>
  <LinksUpToDate>false</LinksUpToDate>
  <CharactersWithSpaces>6080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Lakshmi Gopal</dc:creator>
  <cp:keywords/>
  <dc:description/>
  <cp:lastModifiedBy>Lakshmi Gopal</cp:lastModifiedBy>
  <cp:revision>1</cp:revision>
  <dcterms:created xsi:type="dcterms:W3CDTF">2026-04-22T08:31:00Z</dcterms:created>
  <dcterms:modified xsi:type="dcterms:W3CDTF">2026-04-22T08:32:00Z</dcterms:modified>
</cp:coreProperties>
</file>