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AB5DB7" w:rsidRPr="00815536" w:rsidRDefault="00AB5DB7" w:rsidP="00AB5DB7">
      <w:pPr>
        <w:jc w:val="both"/>
        <w:rPr>
          <w:rFonts w:ascii="Times New Roman" w:eastAsia="Times New Roman" w:hAnsi="Times New Roman" w:cs="Times New Roman"/>
          <w:b/>
          <w:sz w:val="24"/>
          <w:szCs w:val="24"/>
          <w:lang w:val="en-US"/>
        </w:rPr>
      </w:pPr>
      <w:r w:rsidRPr="00815536">
        <w:rPr>
          <w:rFonts w:ascii="Times New Roman" w:eastAsia="Times New Roman" w:hAnsi="Times New Roman" w:cs="Times New Roman"/>
          <w:b/>
          <w:sz w:val="24"/>
          <w:szCs w:val="24"/>
          <w:lang w:val="en-US"/>
        </w:rPr>
        <w:t>Supplementary Materials</w:t>
      </w:r>
    </w:p>
    <w:p w:rsidR="00AB5DB7" w:rsidRPr="00815536" w:rsidRDefault="00AB5DB7" w:rsidP="00AB5DB7">
      <w:pPr>
        <w:jc w:val="both"/>
        <w:rPr>
          <w:rFonts w:ascii="Times New Roman" w:eastAsia="Times New Roman" w:hAnsi="Times New Roman" w:cs="Times New Roman"/>
          <w:b/>
          <w:sz w:val="24"/>
          <w:szCs w:val="24"/>
          <w:lang w:val="en-US"/>
        </w:rPr>
      </w:pPr>
    </w:p>
    <w:p w:rsidR="00AB5DB7" w:rsidRPr="00815536" w:rsidRDefault="00AB5DB7" w:rsidP="00AB5DB7">
      <w:pPr>
        <w:jc w:val="both"/>
        <w:rPr>
          <w:rFonts w:ascii="Times New Roman" w:eastAsia="Times New Roman" w:hAnsi="Times New Roman" w:cs="Times New Roman"/>
          <w:b/>
          <w:sz w:val="24"/>
          <w:szCs w:val="24"/>
          <w:lang w:val="en-US"/>
        </w:rPr>
      </w:pPr>
      <w:r w:rsidRPr="00815536">
        <w:rPr>
          <w:rFonts w:ascii="Times New Roman" w:eastAsia="Times New Roman" w:hAnsi="Times New Roman" w:cs="Times New Roman"/>
          <w:b/>
          <w:sz w:val="24"/>
          <w:szCs w:val="24"/>
          <w:lang w:val="en-US"/>
        </w:rPr>
        <w:t>Table S1. Cryo-EM data collection, refinement, and validation.</w:t>
      </w:r>
    </w:p>
    <w:tbl>
      <w:tblPr>
        <w:tblW w:w="8655" w:type="dxa"/>
        <w:tblLayout w:type="fixed"/>
        <w:tblLook w:val="0400" w:firstRow="0" w:lastRow="0" w:firstColumn="0" w:lastColumn="0" w:noHBand="0" w:noVBand="1"/>
      </w:tblPr>
      <w:tblGrid>
        <w:gridCol w:w="2640"/>
        <w:gridCol w:w="2005"/>
        <w:gridCol w:w="2005"/>
        <w:gridCol w:w="2005"/>
      </w:tblGrid>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0"/>
                <w:szCs w:val="20"/>
              </w:rPr>
              <w:t>Protein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Ps</w:t>
            </w:r>
            <w:r>
              <w:rPr>
                <w:rFonts w:ascii="Times New Roman" w:eastAsia="Times New Roman" w:hAnsi="Times New Roman" w:cs="Times New Roman"/>
                <w:sz w:val="20"/>
                <w:szCs w:val="20"/>
              </w:rPr>
              <w:t>FAR</w:t>
            </w:r>
          </w:p>
        </w:tc>
        <w:tc>
          <w:tcPr>
            <w:tcW w:w="2005" w:type="dxa"/>
            <w:tcMar>
              <w:top w:w="20" w:type="dxa"/>
              <w:left w:w="20" w:type="dxa"/>
              <w:bottom w:w="20" w:type="dxa"/>
              <w:right w:w="20" w:type="dxa"/>
            </w:tcMar>
          </w:tcPr>
          <w:p w:rsidR="00AB5DB7" w:rsidRDefault="00AB5DB7" w:rsidP="00AB5DB7">
            <w:pPr>
              <w:widowControl w:val="0"/>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Ps</w:t>
            </w:r>
            <w:r>
              <w:rPr>
                <w:rFonts w:ascii="Times New Roman" w:eastAsia="Times New Roman" w:hAnsi="Times New Roman" w:cs="Times New Roman"/>
                <w:sz w:val="20"/>
                <w:szCs w:val="20"/>
              </w:rPr>
              <w:t>PR</w:t>
            </w:r>
          </w:p>
        </w:tc>
        <w:tc>
          <w:tcPr>
            <w:tcW w:w="2005" w:type="dxa"/>
            <w:tcMar>
              <w:top w:w="20" w:type="dxa"/>
              <w:left w:w="20" w:type="dxa"/>
              <w:bottom w:w="20" w:type="dxa"/>
              <w:right w:w="20" w:type="dxa"/>
            </w:tcMar>
          </w:tcPr>
          <w:p w:rsidR="00AB5DB7" w:rsidRDefault="00AB5DB7" w:rsidP="00AB5DB7">
            <w:pPr>
              <w:widowControl w:val="0"/>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Ps</w:t>
            </w:r>
            <w:r>
              <w:rPr>
                <w:rFonts w:ascii="Times New Roman" w:eastAsia="Times New Roman" w:hAnsi="Times New Roman" w:cs="Times New Roman"/>
                <w:sz w:val="20"/>
                <w:szCs w:val="20"/>
              </w:rPr>
              <w:t>FAR-DM</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0"/>
                <w:szCs w:val="20"/>
              </w:rPr>
              <w:t>PDB ID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9R21</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9R22</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9R23</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0"/>
                <w:szCs w:val="20"/>
              </w:rPr>
              <w:t>Data collection and processing</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 </w:t>
            </w: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4"/>
                <w:szCs w:val="24"/>
              </w:rPr>
            </w:pP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4"/>
                <w:szCs w:val="24"/>
              </w:rPr>
            </w:pP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 Voltage (kV)</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300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300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300</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 Electron exposure (e</w:t>
            </w:r>
            <w:r>
              <w:rPr>
                <w:rFonts w:ascii="Gungsuh" w:eastAsia="Gungsuh" w:hAnsi="Gungsuh" w:cs="Gungsuh"/>
                <w:sz w:val="12"/>
                <w:szCs w:val="12"/>
                <w:vertAlign w:val="superscript"/>
              </w:rPr>
              <w:t>−</w:t>
            </w:r>
            <w:r>
              <w:rPr>
                <w:rFonts w:ascii="Times New Roman" w:eastAsia="Times New Roman" w:hAnsi="Times New Roman" w:cs="Times New Roman"/>
                <w:sz w:val="20"/>
                <w:szCs w:val="20"/>
              </w:rPr>
              <w:t>/Å</w:t>
            </w:r>
            <w:r>
              <w:rPr>
                <w:rFonts w:ascii="Times New Roman" w:eastAsia="Times New Roman" w:hAnsi="Times New Roman" w:cs="Times New Roman"/>
                <w:sz w:val="12"/>
                <w:szCs w:val="12"/>
                <w:vertAlign w:val="superscript"/>
              </w:rPr>
              <w:t>2</w:t>
            </w:r>
            <w:r>
              <w:rPr>
                <w:rFonts w:ascii="Times New Roman" w:eastAsia="Times New Roman" w:hAnsi="Times New Roman" w:cs="Times New Roman"/>
                <w:sz w:val="20"/>
                <w:szCs w:val="20"/>
              </w:rPr>
              <w:t>)</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50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50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50</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 Defocus range (μm)</w:t>
            </w:r>
          </w:p>
        </w:tc>
        <w:tc>
          <w:tcPr>
            <w:tcW w:w="2005" w:type="dxa"/>
            <w:tcMar>
              <w:top w:w="20" w:type="dxa"/>
              <w:left w:w="20" w:type="dxa"/>
              <w:bottom w:w="20" w:type="dxa"/>
              <w:right w:w="20" w:type="dxa"/>
            </w:tcMar>
          </w:tcPr>
          <w:p w:rsidR="00AB5DB7" w:rsidRPr="00AB5DB7" w:rsidRDefault="00AB5DB7" w:rsidP="00AB5DB7">
            <w:pPr>
              <w:spacing w:line="240" w:lineRule="auto"/>
              <w:jc w:val="center"/>
              <w:rPr>
                <w:rFonts w:ascii="Times New Roman" w:eastAsia="Times New Roman" w:hAnsi="Times New Roman" w:cs="Times New Roman"/>
                <w:sz w:val="20"/>
                <w:szCs w:val="20"/>
              </w:rPr>
            </w:pPr>
            <w:r w:rsidRPr="00AB5DB7">
              <w:rPr>
                <w:rFonts w:ascii="Times New Roman" w:eastAsia="Times New Roman" w:hAnsi="Times New Roman" w:cs="Times New Roman"/>
                <w:sz w:val="20"/>
                <w:szCs w:val="20"/>
              </w:rPr>
              <w:t>−0.5 to −2.0</w:t>
            </w:r>
          </w:p>
        </w:tc>
        <w:tc>
          <w:tcPr>
            <w:tcW w:w="2005" w:type="dxa"/>
            <w:tcMar>
              <w:top w:w="20" w:type="dxa"/>
              <w:left w:w="20" w:type="dxa"/>
              <w:bottom w:w="20" w:type="dxa"/>
              <w:right w:w="20" w:type="dxa"/>
            </w:tcMar>
          </w:tcPr>
          <w:p w:rsidR="00AB5DB7" w:rsidRPr="00AB5DB7" w:rsidRDefault="00AB5DB7" w:rsidP="00AB5DB7">
            <w:pPr>
              <w:spacing w:line="240" w:lineRule="auto"/>
              <w:jc w:val="center"/>
              <w:rPr>
                <w:rFonts w:ascii="Times New Roman" w:eastAsia="Times New Roman" w:hAnsi="Times New Roman" w:cs="Times New Roman"/>
                <w:sz w:val="20"/>
                <w:szCs w:val="20"/>
              </w:rPr>
            </w:pPr>
            <w:r w:rsidRPr="00AB5DB7">
              <w:rPr>
                <w:rFonts w:ascii="Times New Roman" w:eastAsia="Times New Roman" w:hAnsi="Times New Roman" w:cs="Times New Roman"/>
                <w:sz w:val="20"/>
                <w:szCs w:val="20"/>
              </w:rPr>
              <w:t>−0.5 to −2.0</w:t>
            </w:r>
          </w:p>
        </w:tc>
        <w:tc>
          <w:tcPr>
            <w:tcW w:w="2005" w:type="dxa"/>
            <w:tcMar>
              <w:top w:w="20" w:type="dxa"/>
              <w:left w:w="20" w:type="dxa"/>
              <w:bottom w:w="20" w:type="dxa"/>
              <w:right w:w="20" w:type="dxa"/>
            </w:tcMar>
          </w:tcPr>
          <w:p w:rsidR="00AB5DB7" w:rsidRPr="00AB5DB7" w:rsidRDefault="00AB5DB7" w:rsidP="00AB5DB7">
            <w:pPr>
              <w:spacing w:line="240" w:lineRule="auto"/>
              <w:jc w:val="center"/>
              <w:rPr>
                <w:rFonts w:ascii="Times New Roman" w:eastAsia="Times New Roman" w:hAnsi="Times New Roman" w:cs="Times New Roman"/>
                <w:sz w:val="20"/>
                <w:szCs w:val="20"/>
              </w:rPr>
            </w:pPr>
            <w:r w:rsidRPr="00AB5DB7">
              <w:rPr>
                <w:rFonts w:ascii="Times New Roman" w:eastAsia="Times New Roman" w:hAnsi="Times New Roman" w:cs="Times New Roman"/>
                <w:sz w:val="20"/>
                <w:szCs w:val="20"/>
              </w:rPr>
              <w:t>−0.5 to −2.0</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 Pixel size (Å)</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0.836</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0.836</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0.836</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Micrographs collected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4478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6112</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2015</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Micrographs processed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3792</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4589</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1678</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 Symmetry imposed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C5</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C5</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C5</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 Initial dataset (# of particles)</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619,824</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2,107,133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687,836</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 Final dataset (# of particles)</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212,403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497,291</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116,149</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 Map resolution (Å) FSC</w:t>
            </w:r>
            <w:r>
              <w:rPr>
                <w:rFonts w:ascii="Times New Roman" w:eastAsia="Times New Roman" w:hAnsi="Times New Roman" w:cs="Times New Roman"/>
                <w:sz w:val="12"/>
                <w:szCs w:val="12"/>
                <w:vertAlign w:val="subscript"/>
              </w:rPr>
              <w:t>01.43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2.56</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2.48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2.81</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0"/>
                <w:szCs w:val="20"/>
              </w:rPr>
              <w:t>Refinement</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sz w:val="20"/>
                <w:szCs w:val="20"/>
              </w:rPr>
              <w:t> </w:t>
            </w: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4"/>
                <w:szCs w:val="24"/>
              </w:rPr>
            </w:pP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0"/>
                <w:szCs w:val="20"/>
              </w:rPr>
              <w:t> Initial model used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Alphafold3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Alphafold3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i/>
                <w:sz w:val="20"/>
                <w:szCs w:val="20"/>
              </w:rPr>
              <w:t>Ps</w:t>
            </w:r>
            <w:r>
              <w:rPr>
                <w:rFonts w:ascii="Times New Roman" w:eastAsia="Times New Roman" w:hAnsi="Times New Roman" w:cs="Times New Roman"/>
                <w:sz w:val="20"/>
                <w:szCs w:val="20"/>
              </w:rPr>
              <w:t>FAR (present work)</w:t>
            </w:r>
          </w:p>
        </w:tc>
      </w:tr>
      <w:tr w:rsidR="00AB5DB7" w:rsidTr="00AB5DB7">
        <w:trPr>
          <w:trHeight w:val="20"/>
        </w:trPr>
        <w:tc>
          <w:tcPr>
            <w:tcW w:w="2640" w:type="dxa"/>
            <w:tcMar>
              <w:top w:w="20" w:type="dxa"/>
              <w:left w:w="20" w:type="dxa"/>
              <w:bottom w:w="20" w:type="dxa"/>
              <w:right w:w="20" w:type="dxa"/>
            </w:tcMar>
          </w:tcPr>
          <w:p w:rsidR="00AB5DB7" w:rsidRPr="00815536" w:rsidRDefault="00AB5DB7" w:rsidP="00AB5DB7">
            <w:pPr>
              <w:spacing w:line="240" w:lineRule="auto"/>
              <w:jc w:val="both"/>
              <w:rPr>
                <w:rFonts w:ascii="Times New Roman" w:eastAsia="Times New Roman" w:hAnsi="Times New Roman" w:cs="Times New Roman"/>
                <w:sz w:val="24"/>
                <w:szCs w:val="24"/>
                <w:lang w:val="en-US"/>
              </w:rPr>
            </w:pPr>
            <w:r w:rsidRPr="00815536">
              <w:rPr>
                <w:rFonts w:ascii="Times New Roman" w:eastAsia="Times New Roman" w:hAnsi="Times New Roman" w:cs="Times New Roman"/>
                <w:sz w:val="20"/>
                <w:szCs w:val="20"/>
                <w:lang w:val="en-US"/>
              </w:rPr>
              <w:t xml:space="preserve"> Map-sharpening </w:t>
            </w:r>
            <w:r w:rsidRPr="00815536">
              <w:rPr>
                <w:rFonts w:ascii="Times New Roman" w:eastAsia="Times New Roman" w:hAnsi="Times New Roman" w:cs="Times New Roman"/>
                <w:i/>
                <w:sz w:val="20"/>
                <w:szCs w:val="20"/>
                <w:lang w:val="en-US"/>
              </w:rPr>
              <w:t>B</w:t>
            </w:r>
            <w:r w:rsidRPr="00815536">
              <w:rPr>
                <w:rFonts w:ascii="Times New Roman" w:eastAsia="Times New Roman" w:hAnsi="Times New Roman" w:cs="Times New Roman"/>
                <w:sz w:val="20"/>
                <w:szCs w:val="20"/>
                <w:lang w:val="en-US"/>
              </w:rPr>
              <w:t xml:space="preserve"> factor (Å</w:t>
            </w:r>
            <w:r w:rsidRPr="00815536">
              <w:rPr>
                <w:rFonts w:ascii="Times New Roman" w:eastAsia="Times New Roman" w:hAnsi="Times New Roman" w:cs="Times New Roman"/>
                <w:sz w:val="12"/>
                <w:szCs w:val="12"/>
                <w:vertAlign w:val="superscript"/>
                <w:lang w:val="en-US"/>
              </w:rPr>
              <w:t>2</w:t>
            </w:r>
            <w:r w:rsidRPr="00815536">
              <w:rPr>
                <w:rFonts w:ascii="Times New Roman" w:eastAsia="Times New Roman" w:hAnsi="Times New Roman" w:cs="Times New Roman"/>
                <w:sz w:val="20"/>
                <w:szCs w:val="20"/>
                <w:lang w:val="en-US"/>
              </w:rPr>
              <w:t>)</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123.7</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121.8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131</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No. atoms</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2005" w:type="dxa"/>
            <w:tcMar>
              <w:top w:w="43" w:type="dxa"/>
              <w:left w:w="43" w:type="dxa"/>
              <w:bottom w:w="43" w:type="dxa"/>
              <w:right w:w="43" w:type="dxa"/>
            </w:tcMar>
          </w:tcPr>
          <w:p w:rsidR="00AB5DB7" w:rsidRDefault="00AB5DB7" w:rsidP="00AB5DB7">
            <w:pPr>
              <w:spacing w:line="240" w:lineRule="auto"/>
              <w:rPr>
                <w:rFonts w:ascii="Times New Roman" w:eastAsia="Times New Roman" w:hAnsi="Times New Roman" w:cs="Times New Roman"/>
                <w:sz w:val="20"/>
                <w:szCs w:val="20"/>
              </w:rPr>
            </w:pP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Protein</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9,230</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8,895</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9,194</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Retinal</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100</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Lipid</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904</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543</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700</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Water</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97</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105</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i/>
                <w:sz w:val="20"/>
                <w:szCs w:val="20"/>
              </w:rPr>
              <w:t>B</w:t>
            </w:r>
            <w:r>
              <w:rPr>
                <w:rFonts w:ascii="Times New Roman" w:eastAsia="Times New Roman" w:hAnsi="Times New Roman" w:cs="Times New Roman"/>
                <w:sz w:val="20"/>
                <w:szCs w:val="20"/>
              </w:rPr>
              <w:t>-factors (Å</w:t>
            </w:r>
            <w:r>
              <w:rPr>
                <w:rFonts w:ascii="Times New Roman" w:eastAsia="Times New Roman" w:hAnsi="Times New Roman" w:cs="Times New Roman"/>
                <w:sz w:val="20"/>
                <w:szCs w:val="20"/>
                <w:vertAlign w:val="superscript"/>
              </w:rPr>
              <w:t>2</w:t>
            </w:r>
            <w:r>
              <w:rPr>
                <w:rFonts w:ascii="Times New Roman" w:eastAsia="Times New Roman" w:hAnsi="Times New Roman" w:cs="Times New Roman"/>
                <w:sz w:val="20"/>
                <w:szCs w:val="20"/>
              </w:rPr>
              <w:t>)</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p>
        </w:tc>
        <w:tc>
          <w:tcPr>
            <w:tcW w:w="2005" w:type="dxa"/>
            <w:tcMar>
              <w:top w:w="43" w:type="dxa"/>
              <w:left w:w="43" w:type="dxa"/>
              <w:bottom w:w="43" w:type="dxa"/>
              <w:right w:w="43" w:type="dxa"/>
            </w:tcMar>
          </w:tcPr>
          <w:p w:rsidR="00AB5DB7" w:rsidRDefault="00AB5DB7" w:rsidP="00AB5DB7">
            <w:pPr>
              <w:spacing w:line="240" w:lineRule="auto"/>
              <w:rPr>
                <w:rFonts w:ascii="Times New Roman" w:eastAsia="Times New Roman" w:hAnsi="Times New Roman" w:cs="Times New Roman"/>
                <w:sz w:val="20"/>
                <w:szCs w:val="20"/>
              </w:rPr>
            </w:pPr>
          </w:p>
        </w:tc>
        <w:tc>
          <w:tcPr>
            <w:tcW w:w="2005" w:type="dxa"/>
            <w:tcMar>
              <w:top w:w="43" w:type="dxa"/>
              <w:left w:w="43" w:type="dxa"/>
              <w:bottom w:w="43" w:type="dxa"/>
              <w:right w:w="43" w:type="dxa"/>
            </w:tcMar>
          </w:tcPr>
          <w:p w:rsidR="00AB5DB7" w:rsidRDefault="00AB5DB7" w:rsidP="00AB5DB7">
            <w:pPr>
              <w:spacing w:line="240" w:lineRule="auto"/>
              <w:rPr>
                <w:rFonts w:ascii="Times New Roman" w:eastAsia="Times New Roman" w:hAnsi="Times New Roman" w:cs="Times New Roman"/>
                <w:sz w:val="20"/>
                <w:szCs w:val="20"/>
              </w:rPr>
            </w:pP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Protein</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39.8</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41.6</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48.2</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Retinal</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31.8</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43.0</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Lipid</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94.2</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88.0</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113.2</w:t>
            </w:r>
          </w:p>
        </w:tc>
      </w:tr>
      <w:tr w:rsidR="00AB5DB7" w:rsidTr="00AB5DB7">
        <w:trPr>
          <w:trHeight w:val="20"/>
        </w:trPr>
        <w:tc>
          <w:tcPr>
            <w:tcW w:w="2640" w:type="dxa"/>
            <w:tcMar>
              <w:top w:w="43" w:type="dxa"/>
              <w:left w:w="43" w:type="dxa"/>
              <w:bottom w:w="43" w:type="dxa"/>
              <w:right w:w="43"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Water</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42.3</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39.4</w:t>
            </w:r>
          </w:p>
        </w:tc>
        <w:tc>
          <w:tcPr>
            <w:tcW w:w="2005" w:type="dxa"/>
            <w:tcMar>
              <w:top w:w="43" w:type="dxa"/>
              <w:left w:w="43" w:type="dxa"/>
              <w:bottom w:w="43" w:type="dxa"/>
              <w:right w:w="43"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38.7</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R.m.s. deviations</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0"/>
                <w:szCs w:val="20"/>
              </w:rPr>
            </w:pP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0"/>
                <w:szCs w:val="20"/>
              </w:rPr>
            </w:pP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 Bond lengths (Å)</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2.120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0.013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0.010</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 Bond angles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0.011</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1.941</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1.788</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b/>
                <w:sz w:val="20"/>
                <w:szCs w:val="20"/>
              </w:rPr>
              <w:t>Validation</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0"/>
                <w:szCs w:val="20"/>
              </w:rPr>
            </w:pP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0"/>
                <w:szCs w:val="20"/>
              </w:rPr>
            </w:pP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 MolProbity score</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2.19</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1.73</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1.87</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 Clash score</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11.88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9.09</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9.33</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 Poor rotamers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4.58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2.11</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3.16</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Ramachandran plot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 </w:t>
            </w:r>
          </w:p>
        </w:tc>
        <w:tc>
          <w:tcPr>
            <w:tcW w:w="2005" w:type="dxa"/>
            <w:tcMar>
              <w:top w:w="20" w:type="dxa"/>
              <w:left w:w="20" w:type="dxa"/>
              <w:bottom w:w="20" w:type="dxa"/>
              <w:right w:w="20" w:type="dxa"/>
            </w:tcMar>
          </w:tcPr>
          <w:p w:rsidR="00AB5DB7" w:rsidRDefault="00AB5DB7" w:rsidP="00AB5DB7">
            <w:pPr>
              <w:spacing w:line="240" w:lineRule="auto"/>
              <w:rPr>
                <w:rFonts w:ascii="Times New Roman" w:eastAsia="Times New Roman" w:hAnsi="Times New Roman" w:cs="Times New Roman"/>
                <w:sz w:val="20"/>
                <w:szCs w:val="20"/>
              </w:rPr>
            </w:pP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 Favored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97.52</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99.02</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98.61</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 Allowed</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2.48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1.39</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 Outliers</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w:t>
            </w:r>
          </w:p>
        </w:tc>
      </w:tr>
      <w:tr w:rsidR="00AB5DB7" w:rsidTr="00AB5DB7">
        <w:trPr>
          <w:trHeight w:val="20"/>
        </w:trPr>
        <w:tc>
          <w:tcPr>
            <w:tcW w:w="2640" w:type="dxa"/>
            <w:tcMar>
              <w:top w:w="20" w:type="dxa"/>
              <w:left w:w="20" w:type="dxa"/>
              <w:bottom w:w="20" w:type="dxa"/>
              <w:right w:w="20" w:type="dxa"/>
            </w:tcMar>
          </w:tcPr>
          <w:p w:rsidR="00AB5DB7" w:rsidRDefault="00AB5DB7" w:rsidP="00AB5DB7">
            <w:pPr>
              <w:spacing w:line="240" w:lineRule="auto"/>
              <w:jc w:val="both"/>
              <w:rPr>
                <w:rFonts w:ascii="Times New Roman" w:eastAsia="Times New Roman" w:hAnsi="Times New Roman" w:cs="Times New Roman"/>
                <w:sz w:val="20"/>
                <w:szCs w:val="20"/>
              </w:rPr>
            </w:pPr>
            <w:r>
              <w:rPr>
                <w:rFonts w:ascii="Times New Roman" w:eastAsia="Times New Roman" w:hAnsi="Times New Roman" w:cs="Times New Roman"/>
                <w:sz w:val="20"/>
                <w:szCs w:val="20"/>
              </w:rPr>
              <w:t> Model to map fit CC</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0.90</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0.88</w:t>
            </w:r>
          </w:p>
        </w:tc>
        <w:tc>
          <w:tcPr>
            <w:tcW w:w="2005" w:type="dxa"/>
            <w:tcMar>
              <w:top w:w="20" w:type="dxa"/>
              <w:left w:w="20" w:type="dxa"/>
              <w:bottom w:w="20" w:type="dxa"/>
              <w:right w:w="20" w:type="dxa"/>
            </w:tcMar>
          </w:tcPr>
          <w:p w:rsidR="00AB5DB7" w:rsidRDefault="00AB5DB7" w:rsidP="00AB5DB7">
            <w:pPr>
              <w:spacing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0.86</w:t>
            </w:r>
          </w:p>
        </w:tc>
      </w:tr>
    </w:tbl>
    <w:p w:rsidR="00AB5DB7" w:rsidRDefault="00AB5DB7" w:rsidP="00AB5DB7">
      <w:pPr>
        <w:spacing w:line="240" w:lineRule="auto"/>
        <w:jc w:val="both"/>
        <w:rPr>
          <w:rFonts w:ascii="Times New Roman" w:eastAsia="Times New Roman" w:hAnsi="Times New Roman" w:cs="Times New Roman"/>
          <w:b/>
          <w:sz w:val="24"/>
          <w:szCs w:val="24"/>
        </w:rPr>
      </w:pPr>
      <w:r>
        <w:br w:type="page"/>
      </w:r>
    </w:p>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1EDA94F0" wp14:editId="42909062">
            <wp:extent cx="4514850" cy="2122429"/>
            <wp:effectExtent l="0" t="0" r="0" b="0"/>
            <wp:docPr id="11"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
                    <a:srcRect/>
                    <a:stretch>
                      <a:fillRect/>
                    </a:stretch>
                  </pic:blipFill>
                  <pic:spPr>
                    <a:xfrm>
                      <a:off x="0" y="0"/>
                      <a:ext cx="4514850" cy="2122429"/>
                    </a:xfrm>
                    <a:prstGeom prst="rect">
                      <a:avLst/>
                    </a:prstGeom>
                    <a:ln/>
                  </pic:spPr>
                </pic:pic>
              </a:graphicData>
            </a:graphic>
          </wp:inline>
        </w:drawing>
      </w: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S1. Kinetic analysis of ms-dynamics of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PR obtained by global target analysis using a sequential model. A. </w:t>
      </w:r>
      <w:r>
        <w:rPr>
          <w:rFonts w:ascii="Times New Roman" w:eastAsia="Times New Roman" w:hAnsi="Times New Roman" w:cs="Times New Roman"/>
          <w:sz w:val="24"/>
          <w:szCs w:val="24"/>
        </w:rPr>
        <w:t>Corresponding decay-associated spectra (DAS) highlighting the spectral changes associated with each of the six lifetimes.</w:t>
      </w:r>
      <w:r>
        <w:rPr>
          <w:rFonts w:ascii="Times New Roman" w:eastAsia="Times New Roman" w:hAnsi="Times New Roman" w:cs="Times New Roman"/>
          <w:b/>
          <w:sz w:val="24"/>
          <w:szCs w:val="24"/>
        </w:rPr>
        <w:t xml:space="preserve"> B. </w:t>
      </w:r>
      <w:r>
        <w:rPr>
          <w:rFonts w:ascii="Times New Roman" w:eastAsia="Times New Roman" w:hAnsi="Times New Roman" w:cs="Times New Roman"/>
          <w:sz w:val="24"/>
          <w:szCs w:val="24"/>
        </w:rPr>
        <w:t>Evolution-associated difference spectra (EADS) displaying the spectral composition of each intermediate state. Spectral and kinetic decomposition allows the assignment of the components to construct the photocycle model following the spectral position and nomenclature originally derived for bacteriorhodopsin</w:t>
      </w:r>
      <w:hyperlink r:id="rId5">
        <w:r>
          <w:rPr>
            <w:rFonts w:ascii="Times New Roman" w:eastAsia="Times New Roman" w:hAnsi="Times New Roman" w:cs="Times New Roman"/>
            <w:vertAlign w:val="superscript"/>
          </w:rPr>
          <w:t>13</w:t>
        </w:r>
      </w:hyperlink>
      <w:r>
        <w:rPr>
          <w:rFonts w:ascii="Times New Roman" w:eastAsia="Times New Roman" w:hAnsi="Times New Roman" w:cs="Times New Roman"/>
          <w:sz w:val="24"/>
          <w:szCs w:val="24"/>
        </w:rPr>
        <w:t xml:space="preserve"> shown in Fig. 1E. The first two lifetimes of 0.11 ms and 1.5 ms describe the decay of the K intermediate towards the M state, spectrally characterized by a blue shift originating in the deprotonation of the RSB.  M proceeds with a lifetime of 4.3 ms towards N, shifting the absorption towards the bleach. The N state decays with 32 ms and forms the red-shifted O</w:t>
      </w:r>
      <w:r>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xml:space="preserve"> intermediate. O</w:t>
      </w:r>
      <w:r>
        <w:rPr>
          <w:rFonts w:ascii="Times New Roman" w:eastAsia="Times New Roman" w:hAnsi="Times New Roman" w:cs="Times New Roman"/>
          <w:sz w:val="24"/>
          <w:szCs w:val="24"/>
          <w:vertAlign w:val="subscript"/>
        </w:rPr>
        <w:t>1</w:t>
      </w:r>
      <w:r>
        <w:rPr>
          <w:rFonts w:ascii="Times New Roman" w:eastAsia="Times New Roman" w:hAnsi="Times New Roman" w:cs="Times New Roman"/>
          <w:sz w:val="24"/>
          <w:szCs w:val="24"/>
        </w:rPr>
        <w:t xml:space="preserve"> proceeds to 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with a lifetime of 104 ms before  the decay of 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recovers the ground state with a lifetime of 962 ms.  </w:t>
      </w:r>
      <w:r>
        <w:br w:type="page"/>
      </w:r>
    </w:p>
    <w:p w:rsidR="00AB5DB7" w:rsidRDefault="00AB5DB7" w:rsidP="00AB5DB7">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EFFC73C" wp14:editId="758B1525">
            <wp:extent cx="5731200" cy="2857500"/>
            <wp:effectExtent l="0" t="0" r="0" b="0"/>
            <wp:docPr id="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6"/>
                    <a:srcRect/>
                    <a:stretch>
                      <a:fillRect/>
                    </a:stretch>
                  </pic:blipFill>
                  <pic:spPr>
                    <a:xfrm>
                      <a:off x="0" y="0"/>
                      <a:ext cx="5731200" cy="2857500"/>
                    </a:xfrm>
                    <a:prstGeom prst="rect">
                      <a:avLst/>
                    </a:prstGeom>
                    <a:ln/>
                  </pic:spPr>
                </pic:pic>
              </a:graphicData>
            </a:graphic>
          </wp:inline>
        </w:drawing>
      </w:r>
    </w:p>
    <w:p w:rsidR="00AB5DB7" w:rsidRPr="00815536" w:rsidRDefault="00AB5DB7" w:rsidP="00AB5DB7">
      <w:pPr>
        <w:jc w:val="both"/>
        <w:rPr>
          <w:rFonts w:ascii="Times New Roman" w:eastAsia="Times New Roman" w:hAnsi="Times New Roman" w:cs="Times New Roman"/>
          <w:sz w:val="24"/>
          <w:szCs w:val="24"/>
          <w:lang w:val="de-DE"/>
        </w:rPr>
      </w:pPr>
      <w:r>
        <w:rPr>
          <w:rFonts w:ascii="Times New Roman" w:eastAsia="Times New Roman" w:hAnsi="Times New Roman" w:cs="Times New Roman"/>
          <w:b/>
          <w:sz w:val="24"/>
          <w:szCs w:val="24"/>
        </w:rPr>
        <w:t xml:space="preserve">Fig. S2. Workflow for solving the structures using cryoSPARC. </w:t>
      </w:r>
      <w:r w:rsidRPr="00815536">
        <w:rPr>
          <w:rFonts w:ascii="Times New Roman" w:eastAsia="Times New Roman" w:hAnsi="Times New Roman" w:cs="Times New Roman"/>
          <w:b/>
          <w:sz w:val="24"/>
          <w:szCs w:val="24"/>
          <w:lang w:val="de-DE"/>
        </w:rPr>
        <w:t xml:space="preserve">A. </w:t>
      </w:r>
      <w:r w:rsidRPr="00815536">
        <w:rPr>
          <w:rFonts w:ascii="Times New Roman" w:eastAsia="Times New Roman" w:hAnsi="Times New Roman" w:cs="Times New Roman"/>
          <w:i/>
          <w:sz w:val="24"/>
          <w:szCs w:val="24"/>
          <w:lang w:val="de-DE"/>
        </w:rPr>
        <w:t>Ps</w:t>
      </w:r>
      <w:r w:rsidRPr="00815536">
        <w:rPr>
          <w:rFonts w:ascii="Times New Roman" w:eastAsia="Times New Roman" w:hAnsi="Times New Roman" w:cs="Times New Roman"/>
          <w:sz w:val="24"/>
          <w:szCs w:val="24"/>
          <w:lang w:val="de-DE"/>
        </w:rPr>
        <w:t xml:space="preserve">FAR. </w:t>
      </w:r>
      <w:r w:rsidRPr="00815536">
        <w:rPr>
          <w:rFonts w:ascii="Times New Roman" w:eastAsia="Times New Roman" w:hAnsi="Times New Roman" w:cs="Times New Roman"/>
          <w:b/>
          <w:sz w:val="24"/>
          <w:szCs w:val="24"/>
          <w:lang w:val="de-DE"/>
        </w:rPr>
        <w:t>B.</w:t>
      </w:r>
      <w:r w:rsidRPr="00815536">
        <w:rPr>
          <w:rFonts w:ascii="Times New Roman" w:eastAsia="Times New Roman" w:hAnsi="Times New Roman" w:cs="Times New Roman"/>
          <w:sz w:val="24"/>
          <w:szCs w:val="24"/>
          <w:lang w:val="de-DE"/>
        </w:rPr>
        <w:t xml:space="preserve"> </w:t>
      </w:r>
      <w:r w:rsidRPr="00815536">
        <w:rPr>
          <w:rFonts w:ascii="Times New Roman" w:eastAsia="Times New Roman" w:hAnsi="Times New Roman" w:cs="Times New Roman"/>
          <w:i/>
          <w:sz w:val="24"/>
          <w:szCs w:val="24"/>
          <w:lang w:val="de-DE"/>
        </w:rPr>
        <w:t>Ps</w:t>
      </w:r>
      <w:r w:rsidRPr="00815536">
        <w:rPr>
          <w:rFonts w:ascii="Times New Roman" w:eastAsia="Times New Roman" w:hAnsi="Times New Roman" w:cs="Times New Roman"/>
          <w:sz w:val="24"/>
          <w:szCs w:val="24"/>
          <w:lang w:val="de-DE"/>
        </w:rPr>
        <w:t xml:space="preserve">PR. </w:t>
      </w:r>
      <w:r w:rsidRPr="00815536">
        <w:rPr>
          <w:rFonts w:ascii="Times New Roman" w:eastAsia="Times New Roman" w:hAnsi="Times New Roman" w:cs="Times New Roman"/>
          <w:b/>
          <w:sz w:val="24"/>
          <w:szCs w:val="24"/>
          <w:lang w:val="de-DE"/>
        </w:rPr>
        <w:t>C.</w:t>
      </w:r>
      <w:r w:rsidRPr="00815536">
        <w:rPr>
          <w:rFonts w:ascii="Times New Roman" w:eastAsia="Times New Roman" w:hAnsi="Times New Roman" w:cs="Times New Roman"/>
          <w:sz w:val="24"/>
          <w:szCs w:val="24"/>
          <w:lang w:val="de-DE"/>
        </w:rPr>
        <w:t xml:space="preserve"> </w:t>
      </w:r>
      <w:r w:rsidRPr="00815536">
        <w:rPr>
          <w:rFonts w:ascii="Times New Roman" w:eastAsia="Times New Roman" w:hAnsi="Times New Roman" w:cs="Times New Roman"/>
          <w:i/>
          <w:sz w:val="24"/>
          <w:szCs w:val="24"/>
          <w:lang w:val="de-DE"/>
        </w:rPr>
        <w:t>Ps</w:t>
      </w:r>
      <w:r w:rsidRPr="00815536">
        <w:rPr>
          <w:rFonts w:ascii="Times New Roman" w:eastAsia="Times New Roman" w:hAnsi="Times New Roman" w:cs="Times New Roman"/>
          <w:sz w:val="24"/>
          <w:szCs w:val="24"/>
          <w:lang w:val="de-DE"/>
        </w:rPr>
        <w:t xml:space="preserve">FAR-DM. </w:t>
      </w:r>
      <w:r w:rsidRPr="00815536">
        <w:rPr>
          <w:lang w:val="de-DE"/>
        </w:rPr>
        <w:br w:type="page"/>
      </w:r>
    </w:p>
    <w:p w:rsidR="00AB5DB7" w:rsidRDefault="00AB5DB7" w:rsidP="00AB5DB7">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73B7302A" wp14:editId="55BFA1AF">
            <wp:extent cx="5731200" cy="2844800"/>
            <wp:effectExtent l="0" t="0" r="0" b="0"/>
            <wp:docPr id="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7"/>
                    <a:srcRect/>
                    <a:stretch>
                      <a:fillRect/>
                    </a:stretch>
                  </pic:blipFill>
                  <pic:spPr>
                    <a:xfrm>
                      <a:off x="0" y="0"/>
                      <a:ext cx="5731200" cy="2844800"/>
                    </a:xfrm>
                    <a:prstGeom prst="rect">
                      <a:avLst/>
                    </a:prstGeom>
                    <a:ln/>
                  </pic:spPr>
                </pic:pic>
              </a:graphicData>
            </a:graphic>
          </wp:inline>
        </w:drawing>
      </w:r>
    </w:p>
    <w:p w:rsidR="00AB5DB7" w:rsidRDefault="00AB5DB7" w:rsidP="00AB5DB7">
      <w:pPr>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S3. Sequence alignment of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 and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PR.</w:t>
      </w:r>
      <w:r>
        <w:br w:type="page"/>
      </w:r>
    </w:p>
    <w:p w:rsidR="00AB5DB7" w:rsidRDefault="00AB5DB7" w:rsidP="00AB5DB7">
      <w:pPr>
        <w:spacing w:line="240" w:lineRule="auto"/>
        <w:jc w:val="center"/>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3AA9C1A" wp14:editId="33337002">
            <wp:extent cx="4591050" cy="6184953"/>
            <wp:effectExtent l="0" t="0" r="0" b="0"/>
            <wp:docPr id="5"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4591050" cy="6184953"/>
                    </a:xfrm>
                    <a:prstGeom prst="rect">
                      <a:avLst/>
                    </a:prstGeom>
                    <a:ln/>
                  </pic:spPr>
                </pic:pic>
              </a:graphicData>
            </a:graphic>
          </wp:inline>
        </w:drawing>
      </w: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S4. Hydrogen bond network in the central region of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 A. </w:t>
      </w:r>
      <w:r>
        <w:rPr>
          <w:rFonts w:ascii="Times New Roman" w:eastAsia="Times New Roman" w:hAnsi="Times New Roman" w:cs="Times New Roman"/>
          <w:sz w:val="24"/>
          <w:szCs w:val="24"/>
        </w:rPr>
        <w:t xml:space="preserve">Side view. Helices F and G are not shown for clarity. </w:t>
      </w:r>
      <w:r>
        <w:rPr>
          <w:rFonts w:ascii="Times New Roman" w:eastAsia="Times New Roman" w:hAnsi="Times New Roman" w:cs="Times New Roman"/>
          <w:b/>
          <w:sz w:val="24"/>
          <w:szCs w:val="24"/>
        </w:rPr>
        <w:t xml:space="preserve">B. </w:t>
      </w:r>
      <w:r>
        <w:rPr>
          <w:rFonts w:ascii="Times New Roman" w:eastAsia="Times New Roman" w:hAnsi="Times New Roman" w:cs="Times New Roman"/>
          <w:sz w:val="24"/>
          <w:szCs w:val="24"/>
        </w:rPr>
        <w:t>Section</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view from the cytoplasmic side. </w:t>
      </w: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575CB90B" wp14:editId="1B33BD4E">
            <wp:extent cx="5731200" cy="5715000"/>
            <wp:effectExtent l="0" t="0" r="0" b="0"/>
            <wp:docPr id="6" name="image12.jpg"/>
            <wp:cNvGraphicFramePr/>
            <a:graphic xmlns:a="http://schemas.openxmlformats.org/drawingml/2006/main">
              <a:graphicData uri="http://schemas.openxmlformats.org/drawingml/2006/picture">
                <pic:pic xmlns:pic="http://schemas.openxmlformats.org/drawingml/2006/picture">
                  <pic:nvPicPr>
                    <pic:cNvPr id="0" name="image12.jpg"/>
                    <pic:cNvPicPr preferRelativeResize="0"/>
                  </pic:nvPicPr>
                  <pic:blipFill>
                    <a:blip r:embed="rId9"/>
                    <a:srcRect/>
                    <a:stretch>
                      <a:fillRect/>
                    </a:stretch>
                  </pic:blipFill>
                  <pic:spPr>
                    <a:xfrm>
                      <a:off x="0" y="0"/>
                      <a:ext cx="5731200" cy="5715000"/>
                    </a:xfrm>
                    <a:prstGeom prst="rect">
                      <a:avLst/>
                    </a:prstGeom>
                    <a:ln/>
                  </pic:spPr>
                </pic:pic>
              </a:graphicData>
            </a:graphic>
          </wp:inline>
        </w:drawing>
      </w:r>
    </w:p>
    <w:p w:rsidR="00AB5DB7" w:rsidRDefault="00AB5DB7" w:rsidP="00AB5DB7">
      <w:pPr>
        <w:spacing w:line="240" w:lineRule="auto"/>
        <w:jc w:val="both"/>
        <w:rPr>
          <w:rFonts w:ascii="Times New Roman" w:eastAsia="Times New Roman" w:hAnsi="Times New Roman" w:cs="Times New Roman"/>
          <w:sz w:val="24"/>
          <w:szCs w:val="24"/>
        </w:rPr>
      </w:pP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Fig. S5. Sequence alignment of representative paralog FARs and PRs.</w:t>
      </w:r>
      <w:r>
        <w:rPr>
          <w:rFonts w:ascii="Times New Roman" w:eastAsia="Times New Roman" w:hAnsi="Times New Roman" w:cs="Times New Roman"/>
          <w:sz w:val="24"/>
          <w:szCs w:val="24"/>
        </w:rPr>
        <w:t xml:space="preserve"> Position of S54 in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 is indicated in green to highlight conservativity of the residue within FARs but not PRs. </w:t>
      </w:r>
      <w:r>
        <w:br w:type="page"/>
      </w:r>
    </w:p>
    <w:p w:rsidR="00AB5DB7" w:rsidRDefault="00AB5DB7" w:rsidP="00AB5DB7">
      <w:pPr>
        <w:spacing w:line="240" w:lineRule="auto"/>
        <w:jc w:val="center"/>
        <w:rPr>
          <w:rFonts w:ascii="Times New Roman" w:eastAsia="Times New Roman" w:hAnsi="Times New Roman" w:cs="Times New Roman"/>
          <w:b/>
          <w:sz w:val="24"/>
          <w:szCs w:val="24"/>
        </w:rPr>
      </w:pPr>
      <w:r>
        <w:rPr>
          <w:rFonts w:ascii="Times New Roman" w:eastAsia="Times New Roman" w:hAnsi="Times New Roman" w:cs="Times New Roman"/>
          <w:b/>
          <w:noProof/>
          <w:sz w:val="24"/>
          <w:szCs w:val="24"/>
        </w:rPr>
        <w:lastRenderedPageBreak/>
        <w:drawing>
          <wp:inline distT="114300" distB="114300" distL="114300" distR="114300" wp14:anchorId="2AF218CD" wp14:editId="24AE448B">
            <wp:extent cx="5731200" cy="3035300"/>
            <wp:effectExtent l="0" t="0" r="0" b="0"/>
            <wp:docPr id="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0"/>
                    <a:srcRect/>
                    <a:stretch>
                      <a:fillRect/>
                    </a:stretch>
                  </pic:blipFill>
                  <pic:spPr>
                    <a:xfrm>
                      <a:off x="0" y="0"/>
                      <a:ext cx="5731200" cy="3035300"/>
                    </a:xfrm>
                    <a:prstGeom prst="rect">
                      <a:avLst/>
                    </a:prstGeom>
                    <a:ln/>
                  </pic:spPr>
                </pic:pic>
              </a:graphicData>
            </a:graphic>
          </wp:inline>
        </w:drawing>
      </w: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S6. Comparison of helices positions in the central region of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PR, and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FAR-DM. </w:t>
      </w:r>
      <w:r>
        <w:rPr>
          <w:rFonts w:ascii="Times New Roman" w:eastAsia="Times New Roman" w:hAnsi="Times New Roman" w:cs="Times New Roman"/>
          <w:sz w:val="24"/>
          <w:szCs w:val="24"/>
        </w:rPr>
        <w:t xml:space="preserve">Side view (left panel) and section view (right panel) of the structural alignment of the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 (green),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(pink), and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FAR-DM (deep cyan) protomers. The most pronounced shift of helix E in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and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 is indicated with a red arrow. </w:t>
      </w:r>
    </w:p>
    <w:p w:rsidR="00AB5DB7" w:rsidRDefault="00AB5DB7" w:rsidP="00AB5DB7">
      <w:pPr>
        <w:jc w:val="both"/>
        <w:rPr>
          <w:rFonts w:ascii="Times New Roman" w:eastAsia="Times New Roman" w:hAnsi="Times New Roman" w:cs="Times New Roman"/>
          <w:sz w:val="24"/>
          <w:szCs w:val="24"/>
        </w:rPr>
      </w:pPr>
      <w:r>
        <w:br w:type="page"/>
      </w:r>
    </w:p>
    <w:p w:rsidR="00AB5DB7" w:rsidRDefault="00AB5DB7" w:rsidP="00AB5DB7">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4C885AB1" wp14:editId="260C1C1B">
            <wp:extent cx="5731200" cy="5016500"/>
            <wp:effectExtent l="0" t="0" r="0" b="0"/>
            <wp:docPr id="10"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1"/>
                    <a:srcRect/>
                    <a:stretch>
                      <a:fillRect/>
                    </a:stretch>
                  </pic:blipFill>
                  <pic:spPr>
                    <a:xfrm>
                      <a:off x="0" y="0"/>
                      <a:ext cx="5731200" cy="5016500"/>
                    </a:xfrm>
                    <a:prstGeom prst="rect">
                      <a:avLst/>
                    </a:prstGeom>
                    <a:ln/>
                  </pic:spPr>
                </pic:pic>
              </a:graphicData>
            </a:graphic>
          </wp:inline>
        </w:drawing>
      </w:r>
    </w:p>
    <w:p w:rsidR="00AB5DB7" w:rsidRDefault="00AB5DB7" w:rsidP="00AB5DB7">
      <w:pPr>
        <w:jc w:val="both"/>
        <w:rPr>
          <w:rFonts w:ascii="Times New Roman" w:eastAsia="Times New Roman" w:hAnsi="Times New Roman" w:cs="Times New Roman"/>
          <w:b/>
          <w:sz w:val="24"/>
          <w:szCs w:val="24"/>
        </w:rPr>
      </w:pP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S7. Comparison of interprotomeric contacts in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 and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PR. A. </w:t>
      </w:r>
      <w:r>
        <w:rPr>
          <w:rFonts w:ascii="Times New Roman" w:eastAsia="Times New Roman" w:hAnsi="Times New Roman" w:cs="Times New Roman"/>
          <w:sz w:val="24"/>
          <w:szCs w:val="24"/>
        </w:rPr>
        <w:t xml:space="preserve">View from the extracellular side on the structural alignment of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 and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The difference in the tip of helix B position is indicated with black arrow. </w:t>
      </w:r>
      <w:r>
        <w:rPr>
          <w:rFonts w:ascii="Times New Roman" w:eastAsia="Times New Roman" w:hAnsi="Times New Roman" w:cs="Times New Roman"/>
          <w:b/>
          <w:sz w:val="24"/>
          <w:szCs w:val="24"/>
        </w:rPr>
        <w:t xml:space="preserve">B. </w:t>
      </w:r>
      <w:r>
        <w:rPr>
          <w:rFonts w:ascii="Times New Roman" w:eastAsia="Times New Roman" w:hAnsi="Times New Roman" w:cs="Times New Roman"/>
          <w:sz w:val="24"/>
          <w:szCs w:val="24"/>
        </w:rPr>
        <w:t xml:space="preserve">Y59 arrangement in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FAR.</w:t>
      </w:r>
      <w:r>
        <w:rPr>
          <w:rFonts w:ascii="Times New Roman" w:eastAsia="Times New Roman" w:hAnsi="Times New Roman" w:cs="Times New Roman"/>
          <w:b/>
          <w:sz w:val="24"/>
          <w:szCs w:val="24"/>
        </w:rPr>
        <w:t xml:space="preserve"> C. </w:t>
      </w:r>
      <w:r>
        <w:rPr>
          <w:rFonts w:ascii="Times New Roman" w:eastAsia="Times New Roman" w:hAnsi="Times New Roman" w:cs="Times New Roman"/>
          <w:sz w:val="24"/>
          <w:szCs w:val="24"/>
        </w:rPr>
        <w:t xml:space="preserve">Y56 arrangement in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PR. The approximate diameters of the narrowest section of the central region are given in Å.</w:t>
      </w:r>
      <w:r>
        <w:rPr>
          <w:rFonts w:ascii="Times New Roman" w:eastAsia="Times New Roman" w:hAnsi="Times New Roman" w:cs="Times New Roman"/>
          <w:b/>
          <w:sz w:val="24"/>
          <w:szCs w:val="24"/>
        </w:rPr>
        <w:t xml:space="preserve"> D. </w:t>
      </w:r>
      <w:r>
        <w:rPr>
          <w:rFonts w:ascii="Times New Roman" w:eastAsia="Times New Roman" w:hAnsi="Times New Roman" w:cs="Times New Roman"/>
          <w:sz w:val="24"/>
          <w:szCs w:val="24"/>
        </w:rPr>
        <w:t xml:space="preserve">Detailed view of the interprotomeric contacts at the extracellular side of the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FAR pentamer. Views from the central part of the pentamer (top panel) and from the extracellular side (bottom panel) are shown.</w:t>
      </w:r>
      <w:r>
        <w:rPr>
          <w:rFonts w:ascii="Times New Roman" w:eastAsia="Times New Roman" w:hAnsi="Times New Roman" w:cs="Times New Roman"/>
          <w:b/>
          <w:sz w:val="24"/>
          <w:szCs w:val="24"/>
        </w:rPr>
        <w:t xml:space="preserve"> E. </w:t>
      </w:r>
      <w:r>
        <w:rPr>
          <w:rFonts w:ascii="Times New Roman" w:eastAsia="Times New Roman" w:hAnsi="Times New Roman" w:cs="Times New Roman"/>
          <w:sz w:val="24"/>
          <w:szCs w:val="24"/>
        </w:rPr>
        <w:t xml:space="preserve">Detailed view of the interprotomeric contacts at the extracellular side of the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pentamer. Views from the central part of the pentamer (top panel) and from the extracellular side (bottom panel) are shown. Hydrogen bonds mediating the contacts are shown with black dashed lines. Neighboring protomer is colored yellow. </w:t>
      </w:r>
    </w:p>
    <w:p w:rsidR="00AB5DB7" w:rsidRDefault="00AB5DB7" w:rsidP="00AB5DB7">
      <w:pPr>
        <w:jc w:val="both"/>
        <w:rPr>
          <w:rFonts w:ascii="Times New Roman" w:eastAsia="Times New Roman" w:hAnsi="Times New Roman" w:cs="Times New Roman"/>
          <w:sz w:val="24"/>
          <w:szCs w:val="24"/>
        </w:rPr>
      </w:pPr>
      <w:r>
        <w:br w:type="page"/>
      </w:r>
    </w:p>
    <w:p w:rsidR="00AB5DB7" w:rsidRDefault="00AB5DB7" w:rsidP="00AB5DB7">
      <w:pPr>
        <w:jc w:val="both"/>
        <w:rPr>
          <w:rFonts w:ascii="Times New Roman" w:eastAsia="Times New Roman" w:hAnsi="Times New Roman" w:cs="Times New Roman"/>
          <w:sz w:val="24"/>
          <w:szCs w:val="24"/>
        </w:rPr>
      </w:pPr>
      <w:r>
        <w:rPr>
          <w:rFonts w:ascii="Times New Roman" w:eastAsia="Times New Roman" w:hAnsi="Times New Roman" w:cs="Times New Roman"/>
          <w:noProof/>
          <w:sz w:val="24"/>
          <w:szCs w:val="24"/>
        </w:rPr>
        <w:lastRenderedPageBreak/>
        <w:drawing>
          <wp:inline distT="114300" distB="114300" distL="114300" distR="114300" wp14:anchorId="399F0F8D" wp14:editId="26246299">
            <wp:extent cx="5731200" cy="3771900"/>
            <wp:effectExtent l="0" t="0" r="0" b="0"/>
            <wp:docPr id="12"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2"/>
                    <a:srcRect/>
                    <a:stretch>
                      <a:fillRect/>
                    </a:stretch>
                  </pic:blipFill>
                  <pic:spPr>
                    <a:xfrm>
                      <a:off x="0" y="0"/>
                      <a:ext cx="5731200" cy="3771900"/>
                    </a:xfrm>
                    <a:prstGeom prst="rect">
                      <a:avLst/>
                    </a:prstGeom>
                    <a:ln/>
                  </pic:spPr>
                </pic:pic>
              </a:graphicData>
            </a:graphic>
          </wp:inline>
        </w:drawing>
      </w:r>
    </w:p>
    <w:p w:rsidR="00AB5DB7" w:rsidRDefault="00AB5DB7" w:rsidP="00AB5DB7">
      <w:pPr>
        <w:spacing w:line="240" w:lineRule="auto"/>
        <w:jc w:val="both"/>
        <w:rPr>
          <w:rFonts w:ascii="Times New Roman" w:eastAsia="Times New Roman" w:hAnsi="Times New Roman" w:cs="Times New Roman"/>
          <w:sz w:val="24"/>
          <w:szCs w:val="24"/>
        </w:rPr>
      </w:pPr>
      <w:r>
        <w:rPr>
          <w:rFonts w:ascii="Times New Roman" w:eastAsia="Times New Roman" w:hAnsi="Times New Roman" w:cs="Times New Roman"/>
          <w:b/>
          <w:sz w:val="24"/>
          <w:szCs w:val="24"/>
        </w:rPr>
        <w:t xml:space="preserve">Fig. S8. Ultrafast spectroscopy of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PR and </w:t>
      </w:r>
      <w:r>
        <w:rPr>
          <w:rFonts w:ascii="Times New Roman" w:eastAsia="Times New Roman" w:hAnsi="Times New Roman" w:cs="Times New Roman"/>
          <w:b/>
          <w:i/>
          <w:sz w:val="24"/>
          <w:szCs w:val="24"/>
        </w:rPr>
        <w:t>Ps</w:t>
      </w:r>
      <w:r>
        <w:rPr>
          <w:rFonts w:ascii="Times New Roman" w:eastAsia="Times New Roman" w:hAnsi="Times New Roman" w:cs="Times New Roman"/>
          <w:b/>
          <w:sz w:val="24"/>
          <w:szCs w:val="24"/>
        </w:rPr>
        <w:t xml:space="preserve">FAR-DM. A. </w:t>
      </w:r>
      <w:r>
        <w:rPr>
          <w:rFonts w:ascii="Times New Roman" w:eastAsia="Times New Roman" w:hAnsi="Times New Roman" w:cs="Times New Roman"/>
          <w:sz w:val="24"/>
          <w:szCs w:val="24"/>
        </w:rPr>
        <w:t xml:space="preserve">2D-contour plot of a fs-TA measurement of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(pH 9.1) excited at 510 nm. </w:t>
      </w:r>
      <w:r w:rsidRPr="00AB5DB7">
        <w:rPr>
          <w:rFonts w:ascii="Times New Roman" w:eastAsia="Times New Roman" w:hAnsi="Times New Roman" w:cs="Times New Roman"/>
          <w:b/>
          <w:sz w:val="24"/>
          <w:szCs w:val="24"/>
          <w:lang w:val="en-US"/>
        </w:rPr>
        <w:t>B.</w:t>
      </w:r>
      <w:r w:rsidRPr="00AB5DB7">
        <w:rPr>
          <w:rFonts w:ascii="Times New Roman" w:eastAsia="Times New Roman" w:hAnsi="Times New Roman" w:cs="Times New Roman"/>
          <w:sz w:val="24"/>
          <w:szCs w:val="24"/>
          <w:lang w:val="en-US"/>
        </w:rPr>
        <w:t xml:space="preserve"> Corresponding decay-associated spectra (DAS) and </w:t>
      </w:r>
      <w:r w:rsidRPr="00AB5DB7">
        <w:rPr>
          <w:rFonts w:ascii="Times New Roman" w:eastAsia="Times New Roman" w:hAnsi="Times New Roman" w:cs="Times New Roman"/>
          <w:b/>
          <w:sz w:val="24"/>
          <w:szCs w:val="24"/>
          <w:lang w:val="en-US"/>
        </w:rPr>
        <w:t>C.</w:t>
      </w:r>
      <w:r w:rsidRPr="00AB5DB7">
        <w:rPr>
          <w:rFonts w:ascii="Times New Roman" w:eastAsia="Times New Roman" w:hAnsi="Times New Roman" w:cs="Times New Roman"/>
          <w:sz w:val="24"/>
          <w:szCs w:val="24"/>
          <w:lang w:val="en-US"/>
        </w:rPr>
        <w:t xml:space="preserve"> evolution-associated difference spectra (EADS) obtained by global target analysis of</w:t>
      </w:r>
      <w:r w:rsidRPr="00AB5DB7">
        <w:rPr>
          <w:rFonts w:ascii="Times New Roman" w:eastAsia="Times New Roman" w:hAnsi="Times New Roman" w:cs="Times New Roman"/>
          <w:i/>
          <w:sz w:val="24"/>
          <w:szCs w:val="24"/>
          <w:lang w:val="en-US"/>
        </w:rPr>
        <w:t xml:space="preserve"> Ps</w:t>
      </w:r>
      <w:r w:rsidRPr="00AB5DB7">
        <w:rPr>
          <w:rFonts w:ascii="Times New Roman" w:eastAsia="Times New Roman" w:hAnsi="Times New Roman" w:cs="Times New Roman"/>
          <w:sz w:val="24"/>
          <w:szCs w:val="24"/>
          <w:lang w:val="en-US"/>
        </w:rPr>
        <w:t xml:space="preserve">PR </w:t>
      </w:r>
      <w:r w:rsidRPr="00AB5DB7">
        <w:rPr>
          <w:rFonts w:ascii="Times New Roman" w:eastAsia="Times New Roman" w:hAnsi="Times New Roman" w:cs="Times New Roman"/>
          <w:b/>
          <w:sz w:val="24"/>
          <w:szCs w:val="24"/>
          <w:lang w:val="en-US"/>
        </w:rPr>
        <w:t xml:space="preserve">D. </w:t>
      </w:r>
      <w:r w:rsidRPr="00AB5DB7">
        <w:rPr>
          <w:rFonts w:ascii="Times New Roman" w:eastAsia="Times New Roman" w:hAnsi="Times New Roman" w:cs="Times New Roman"/>
          <w:sz w:val="24"/>
          <w:szCs w:val="24"/>
          <w:lang w:val="en-US"/>
        </w:rPr>
        <w:t xml:space="preserve">2D-contour plot of a fs-TA measurement of </w:t>
      </w:r>
      <w:r w:rsidRPr="00AB5DB7">
        <w:rPr>
          <w:rFonts w:ascii="Times New Roman" w:eastAsia="Times New Roman" w:hAnsi="Times New Roman" w:cs="Times New Roman"/>
          <w:i/>
          <w:sz w:val="24"/>
          <w:szCs w:val="24"/>
          <w:lang w:val="en-US"/>
        </w:rPr>
        <w:t>Ps</w:t>
      </w:r>
      <w:r w:rsidRPr="00AB5DB7">
        <w:rPr>
          <w:rFonts w:ascii="Times New Roman" w:eastAsia="Times New Roman" w:hAnsi="Times New Roman" w:cs="Times New Roman"/>
          <w:sz w:val="24"/>
          <w:szCs w:val="24"/>
          <w:lang w:val="en-US"/>
        </w:rPr>
        <w:t xml:space="preserve">FAR-DM (pH 8.0) excited at 490 nm. </w:t>
      </w:r>
      <w:r>
        <w:rPr>
          <w:rFonts w:ascii="Times New Roman" w:eastAsia="Times New Roman" w:hAnsi="Times New Roman" w:cs="Times New Roman"/>
          <w:b/>
          <w:sz w:val="24"/>
          <w:szCs w:val="24"/>
        </w:rPr>
        <w:t>E.</w:t>
      </w:r>
      <w:r>
        <w:rPr>
          <w:rFonts w:ascii="Times New Roman" w:eastAsia="Times New Roman" w:hAnsi="Times New Roman" w:cs="Times New Roman"/>
          <w:sz w:val="24"/>
          <w:szCs w:val="24"/>
        </w:rPr>
        <w:t xml:space="preserve"> DAS and</w:t>
      </w:r>
      <w:r>
        <w:rPr>
          <w:rFonts w:ascii="Times New Roman" w:eastAsia="Times New Roman" w:hAnsi="Times New Roman" w:cs="Times New Roman"/>
          <w:b/>
          <w:sz w:val="24"/>
          <w:szCs w:val="24"/>
        </w:rPr>
        <w:t xml:space="preserve"> F.</w:t>
      </w:r>
      <w:r>
        <w:rPr>
          <w:rFonts w:ascii="Times New Roman" w:eastAsia="Times New Roman" w:hAnsi="Times New Roman" w:cs="Times New Roman"/>
          <w:sz w:val="24"/>
          <w:szCs w:val="24"/>
        </w:rPr>
        <w:t xml:space="preserve"> EADS obtained by global target analysis of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FAR-DM. </w:t>
      </w:r>
      <w:r>
        <w:rPr>
          <w:rFonts w:ascii="Times New Roman" w:eastAsia="Times New Roman" w:hAnsi="Times New Roman" w:cs="Times New Roman"/>
          <w:b/>
          <w:sz w:val="24"/>
          <w:szCs w:val="24"/>
        </w:rPr>
        <w:t xml:space="preserve"> </w:t>
      </w:r>
      <w:r>
        <w:rPr>
          <w:rFonts w:ascii="Times New Roman" w:eastAsia="Times New Roman" w:hAnsi="Times New Roman" w:cs="Times New Roman"/>
          <w:sz w:val="24"/>
          <w:szCs w:val="24"/>
        </w:rPr>
        <w:t xml:space="preserve">The timescale of the transient maps is linear until 1 ps and logarithmic afterwards. In the dynamics of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PR the first lifetime of 170 fs is assigned to the excited state decay and the formation of the J intermediate. Within 2.4 ps J decays forming the K intermediate, which persists beyond the observation limit of 1.8 ns. In contrast, </w:t>
      </w:r>
      <w:r>
        <w:rPr>
          <w:rFonts w:ascii="Times New Roman" w:eastAsia="Times New Roman" w:hAnsi="Times New Roman" w:cs="Times New Roman"/>
          <w:i/>
          <w:sz w:val="24"/>
          <w:szCs w:val="24"/>
        </w:rPr>
        <w:t>Ps</w:t>
      </w:r>
      <w:r>
        <w:rPr>
          <w:rFonts w:ascii="Times New Roman" w:eastAsia="Times New Roman" w:hAnsi="Times New Roman" w:cs="Times New Roman"/>
          <w:sz w:val="24"/>
          <w:szCs w:val="24"/>
        </w:rPr>
        <w:t xml:space="preserve">FAR-DM required three time constants of 0.4 ps, 2.8 ps and 15 ps to describe the excited state decay adequately. The decay of the excited state results in the formation of  a K-like intermediate, outlasting the observed timescale.     </w:t>
      </w:r>
    </w:p>
    <w:p w:rsidR="00AB5DB7" w:rsidRDefault="00AB5DB7" w:rsidP="00AB5DB7">
      <w:pPr>
        <w:jc w:val="both"/>
        <w:rPr>
          <w:rFonts w:ascii="Times New Roman" w:eastAsia="Times New Roman" w:hAnsi="Times New Roman" w:cs="Times New Roman"/>
          <w:sz w:val="24"/>
          <w:szCs w:val="24"/>
        </w:rPr>
      </w:pPr>
    </w:p>
    <w:p w:rsidR="00AB5DB7" w:rsidRDefault="00AB5DB7" w:rsidP="00AB5DB7">
      <w:pPr>
        <w:spacing w:line="240" w:lineRule="auto"/>
        <w:jc w:val="both"/>
        <w:rPr>
          <w:rFonts w:ascii="Times New Roman" w:eastAsia="Times New Roman" w:hAnsi="Times New Roman" w:cs="Times New Roman"/>
          <w:sz w:val="24"/>
          <w:szCs w:val="24"/>
        </w:rPr>
      </w:pPr>
    </w:p>
    <w:p w:rsidR="00AB5DB7" w:rsidRDefault="00AB5DB7"/>
    <w:sectPr w:rsidR="00AB5DB7">
      <w:headerReference w:type="default" r:id="rId13"/>
      <w:pgSz w:w="11909" w:h="16834"/>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ungsuh">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00000" w:rsidRDefault="00000000"/>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B5DB7"/>
    <w:rsid w:val="00AB5DB7"/>
  </w:rsids>
  <m:mathPr>
    <m:mathFont m:val="Cambria Math"/>
    <m:brkBin m:val="before"/>
    <m:brkBinSub m:val="--"/>
    <m:smallFrac m:val="0"/>
    <m:dispDef/>
    <m:lMargin m:val="0"/>
    <m:rMargin m:val="0"/>
    <m:defJc m:val="centerGroup"/>
    <m:wrapIndent m:val="1440"/>
    <m:intLim m:val="subSup"/>
    <m:naryLim m:val="undOvr"/>
  </m:mathPr>
  <w:themeFontLang w:val="en-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A84BF944-F96F-B041-B81F-035D034B14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DE"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B5DB7"/>
    <w:pPr>
      <w:spacing w:line="276" w:lineRule="auto"/>
    </w:pPr>
    <w:rPr>
      <w:rFonts w:ascii="Arial" w:eastAsia="Arial" w:hAnsi="Arial" w:cs="Arial"/>
      <w:kern w:val="0"/>
      <w:sz w:val="22"/>
      <w:szCs w:val="22"/>
      <w:lang w:val="ru"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g"/><Relationship Id="rId13" Type="http://schemas.openxmlformats.org/officeDocument/2006/relationships/header" Target="header1.xml"/><Relationship Id="rId3" Type="http://schemas.openxmlformats.org/officeDocument/2006/relationships/webSettings" Target="webSettings.xml"/><Relationship Id="rId7" Type="http://schemas.openxmlformats.org/officeDocument/2006/relationships/image" Target="media/image3.jpg"/><Relationship Id="rId12" Type="http://schemas.openxmlformats.org/officeDocument/2006/relationships/image" Target="media/image8.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2.jpg"/><Relationship Id="rId11" Type="http://schemas.openxmlformats.org/officeDocument/2006/relationships/image" Target="media/image7.jpg"/><Relationship Id="rId5" Type="http://schemas.openxmlformats.org/officeDocument/2006/relationships/hyperlink" Target="https://www.zotero.org/google-docs/?AVVbhG" TargetMode="External"/><Relationship Id="rId15" Type="http://schemas.openxmlformats.org/officeDocument/2006/relationships/theme" Target="theme/theme1.xml"/><Relationship Id="rId10" Type="http://schemas.openxmlformats.org/officeDocument/2006/relationships/image" Target="media/image6.jpg"/><Relationship Id="rId4" Type="http://schemas.openxmlformats.org/officeDocument/2006/relationships/image" Target="media/image1.jpg"/><Relationship Id="rId9" Type="http://schemas.openxmlformats.org/officeDocument/2006/relationships/image" Target="media/image5.jp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9</Pages>
  <Words>776</Words>
  <Characters>4424</Characters>
  <Application>Microsoft Office Word</Application>
  <DocSecurity>0</DocSecurity>
  <Lines>36</Lines>
  <Paragraphs>10</Paragraphs>
  <ScaleCrop>false</ScaleCrop>
  <Company/>
  <LinksUpToDate>false</LinksUpToDate>
  <CharactersWithSpaces>5190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1</cp:revision>
  <dcterms:created xsi:type="dcterms:W3CDTF">2025-04-29T12:22:00Z</dcterms:created>
  <dcterms:modified xsi:type="dcterms:W3CDTF">2025-04-29T12:23:00Z</dcterms:modified>
</cp:coreProperties>
</file>